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Layout w:type="fixed"/>
        <w:tblCellMar>
          <w:left w:w="70" w:type="dxa"/>
          <w:right w:w="70" w:type="dxa"/>
        </w:tblCellMar>
        <w:tblLook w:val="0000" w:firstRow="0" w:lastRow="0" w:firstColumn="0" w:lastColumn="0" w:noHBand="0" w:noVBand="0"/>
      </w:tblPr>
      <w:tblGrid>
        <w:gridCol w:w="4323"/>
        <w:gridCol w:w="2268"/>
        <w:gridCol w:w="850"/>
        <w:gridCol w:w="2268"/>
      </w:tblGrid>
      <w:tr w:rsidR="009B5166" w14:paraId="5FA74534" w14:textId="77777777" w:rsidTr="0005747E">
        <w:tc>
          <w:tcPr>
            <w:tcW w:w="4323" w:type="dxa"/>
          </w:tcPr>
          <w:p w14:paraId="7E070ADE" w14:textId="77777777" w:rsidR="009B5166" w:rsidRPr="006353E1" w:rsidRDefault="009B5166" w:rsidP="00E039AA">
            <w:pPr>
              <w:rPr>
                <w:rFonts w:ascii="Calibri" w:hAnsi="Calibri" w:cs="Calibri"/>
                <w:sz w:val="22"/>
                <w:szCs w:val="22"/>
              </w:rPr>
            </w:pPr>
          </w:p>
        </w:tc>
        <w:tc>
          <w:tcPr>
            <w:tcW w:w="2268" w:type="dxa"/>
          </w:tcPr>
          <w:p w14:paraId="6F38EB7E" w14:textId="77777777" w:rsidR="009B5166" w:rsidRPr="006B3261" w:rsidRDefault="009B5166">
            <w:pPr>
              <w:rPr>
                <w:rFonts w:ascii="Arial" w:hAnsi="Arial"/>
                <w:color w:val="0070C0"/>
              </w:rPr>
            </w:pPr>
          </w:p>
        </w:tc>
        <w:tc>
          <w:tcPr>
            <w:tcW w:w="3118" w:type="dxa"/>
            <w:gridSpan w:val="2"/>
          </w:tcPr>
          <w:p w14:paraId="75AF42EC" w14:textId="77777777" w:rsidR="009B5166" w:rsidRPr="006B3261" w:rsidRDefault="00B3360E">
            <w:pPr>
              <w:jc w:val="left"/>
              <w:rPr>
                <w:rFonts w:ascii="Arial" w:hAnsi="Arial"/>
                <w:b/>
                <w:color w:val="0070C0"/>
                <w:sz w:val="20"/>
              </w:rPr>
            </w:pPr>
            <w:r>
              <w:rPr>
                <w:rFonts w:ascii="Arial" w:hAnsi="Arial"/>
                <w:noProof/>
                <w:color w:val="0070C0"/>
              </w:rPr>
              <w:drawing>
                <wp:inline distT="0" distB="0" distL="0" distR="0" wp14:anchorId="1F7B4352" wp14:editId="56D27096">
                  <wp:extent cx="1809750" cy="419100"/>
                  <wp:effectExtent l="0" t="0" r="0" b="0"/>
                  <wp:docPr id="1" name="Bild 1" descr="Logo_VdPB_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VdPB_indizi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419100"/>
                          </a:xfrm>
                          <a:prstGeom prst="rect">
                            <a:avLst/>
                          </a:prstGeom>
                          <a:noFill/>
                          <a:ln>
                            <a:noFill/>
                          </a:ln>
                        </pic:spPr>
                      </pic:pic>
                    </a:graphicData>
                  </a:graphic>
                </wp:inline>
              </w:drawing>
            </w:r>
          </w:p>
        </w:tc>
      </w:tr>
      <w:tr w:rsidR="009B5166" w14:paraId="00703AFB" w14:textId="77777777" w:rsidTr="0005747E">
        <w:tc>
          <w:tcPr>
            <w:tcW w:w="4323" w:type="dxa"/>
          </w:tcPr>
          <w:p w14:paraId="2F16C444" w14:textId="77777777" w:rsidR="009B5166" w:rsidRPr="006353E1" w:rsidRDefault="009B5166">
            <w:pPr>
              <w:rPr>
                <w:rFonts w:ascii="Calibri" w:hAnsi="Calibri" w:cs="Calibri"/>
                <w:color w:val="0070C0"/>
              </w:rPr>
            </w:pPr>
          </w:p>
        </w:tc>
        <w:tc>
          <w:tcPr>
            <w:tcW w:w="3118" w:type="dxa"/>
            <w:gridSpan w:val="2"/>
          </w:tcPr>
          <w:p w14:paraId="17743F85" w14:textId="77777777" w:rsidR="009B5166" w:rsidRPr="006353E1" w:rsidRDefault="009B5166">
            <w:pPr>
              <w:rPr>
                <w:rFonts w:ascii="Calibri" w:hAnsi="Calibri" w:cs="Calibri"/>
                <w:color w:val="0070C0"/>
              </w:rPr>
            </w:pPr>
          </w:p>
        </w:tc>
        <w:tc>
          <w:tcPr>
            <w:tcW w:w="2268" w:type="dxa"/>
          </w:tcPr>
          <w:p w14:paraId="61B58A7C" w14:textId="77777777" w:rsidR="009B5166" w:rsidRPr="006353E1" w:rsidRDefault="00BB15D4">
            <w:pPr>
              <w:rPr>
                <w:rFonts w:ascii="Calibri" w:hAnsi="Calibri" w:cs="Calibri"/>
                <w:color w:val="0070C0"/>
                <w:sz w:val="18"/>
                <w:szCs w:val="18"/>
              </w:rPr>
            </w:pPr>
            <w:r w:rsidRPr="006353E1">
              <w:rPr>
                <w:rFonts w:ascii="Calibri" w:hAnsi="Calibri" w:cs="Calibri"/>
                <w:color w:val="0070C0"/>
                <w:sz w:val="18"/>
                <w:szCs w:val="18"/>
              </w:rPr>
              <w:br/>
            </w:r>
            <w:r w:rsidR="009B5166" w:rsidRPr="006353E1">
              <w:rPr>
                <w:rFonts w:ascii="Calibri" w:hAnsi="Calibri" w:cs="Calibri"/>
                <w:color w:val="0070C0"/>
                <w:sz w:val="18"/>
                <w:szCs w:val="18"/>
              </w:rPr>
              <w:t>Klingelhöferstraße 4</w:t>
            </w:r>
          </w:p>
          <w:p w14:paraId="0C8EA798" w14:textId="77777777" w:rsidR="009B5166" w:rsidRPr="006353E1" w:rsidRDefault="009B5166">
            <w:pPr>
              <w:rPr>
                <w:rFonts w:ascii="Calibri" w:hAnsi="Calibri" w:cs="Calibri"/>
                <w:color w:val="0070C0"/>
                <w:sz w:val="18"/>
                <w:szCs w:val="18"/>
              </w:rPr>
            </w:pPr>
            <w:r w:rsidRPr="006353E1">
              <w:rPr>
                <w:rFonts w:ascii="Calibri" w:hAnsi="Calibri" w:cs="Calibri"/>
                <w:color w:val="0070C0"/>
                <w:sz w:val="18"/>
                <w:szCs w:val="18"/>
              </w:rPr>
              <w:t>10785 Berlin</w:t>
            </w:r>
          </w:p>
          <w:p w14:paraId="57C01EF3" w14:textId="77777777" w:rsidR="009B5166" w:rsidRPr="006353E1" w:rsidRDefault="009B5166">
            <w:pPr>
              <w:rPr>
                <w:rFonts w:ascii="Calibri" w:hAnsi="Calibri" w:cs="Calibri"/>
                <w:color w:val="0070C0"/>
                <w:sz w:val="18"/>
                <w:szCs w:val="18"/>
              </w:rPr>
            </w:pPr>
          </w:p>
        </w:tc>
      </w:tr>
      <w:tr w:rsidR="006B3261" w14:paraId="3A03F0EB" w14:textId="77777777" w:rsidTr="0005747E">
        <w:tc>
          <w:tcPr>
            <w:tcW w:w="4323" w:type="dxa"/>
          </w:tcPr>
          <w:p w14:paraId="6C935578" w14:textId="77777777" w:rsidR="006B3261" w:rsidRPr="006353E1" w:rsidRDefault="006B3261">
            <w:pPr>
              <w:rPr>
                <w:rFonts w:ascii="Calibri" w:hAnsi="Calibri" w:cs="Calibri"/>
                <w:color w:val="0070C0"/>
              </w:rPr>
            </w:pPr>
            <w:r w:rsidRPr="006353E1">
              <w:rPr>
                <w:rFonts w:ascii="Calibri" w:hAnsi="Calibri" w:cs="Calibri"/>
                <w:color w:val="0070C0"/>
              </w:rPr>
              <w:t>Pressem</w:t>
            </w:r>
            <w:r w:rsidR="00040924">
              <w:rPr>
                <w:rFonts w:ascii="Calibri" w:hAnsi="Calibri" w:cs="Calibri"/>
                <w:color w:val="0070C0"/>
              </w:rPr>
              <w:t>itteilung</w:t>
            </w:r>
          </w:p>
        </w:tc>
        <w:tc>
          <w:tcPr>
            <w:tcW w:w="3118" w:type="dxa"/>
            <w:gridSpan w:val="2"/>
          </w:tcPr>
          <w:p w14:paraId="6B42D5D4" w14:textId="300E3A0E" w:rsidR="006B3261" w:rsidRPr="006353E1" w:rsidRDefault="006B3261" w:rsidP="007B70A1">
            <w:pPr>
              <w:rPr>
                <w:rFonts w:ascii="Calibri" w:hAnsi="Calibri" w:cs="Calibri"/>
                <w:color w:val="0070C0"/>
              </w:rPr>
            </w:pPr>
            <w:r w:rsidRPr="006353E1">
              <w:rPr>
                <w:rFonts w:ascii="Calibri" w:hAnsi="Calibri" w:cs="Calibri"/>
                <w:color w:val="0070C0"/>
              </w:rPr>
              <w:t xml:space="preserve">Berlin, </w:t>
            </w:r>
            <w:r w:rsidR="00942D54">
              <w:rPr>
                <w:rFonts w:ascii="Calibri" w:hAnsi="Calibri" w:cs="Calibri"/>
                <w:color w:val="0070C0"/>
              </w:rPr>
              <w:t>2</w:t>
            </w:r>
            <w:r w:rsidR="0075165C">
              <w:rPr>
                <w:rFonts w:ascii="Calibri" w:hAnsi="Calibri" w:cs="Calibri"/>
                <w:color w:val="0070C0"/>
              </w:rPr>
              <w:t>7</w:t>
            </w:r>
            <w:r w:rsidR="007B70A1">
              <w:rPr>
                <w:rFonts w:ascii="Calibri" w:hAnsi="Calibri" w:cs="Calibri"/>
                <w:color w:val="0070C0"/>
              </w:rPr>
              <w:t xml:space="preserve">. Januar </w:t>
            </w:r>
            <w:r w:rsidR="002916AC">
              <w:rPr>
                <w:rFonts w:ascii="Calibri" w:hAnsi="Calibri" w:cs="Calibri"/>
                <w:color w:val="0070C0"/>
              </w:rPr>
              <w:t>202</w:t>
            </w:r>
            <w:r w:rsidR="007B70A1">
              <w:rPr>
                <w:rFonts w:ascii="Calibri" w:hAnsi="Calibri" w:cs="Calibri"/>
                <w:color w:val="0070C0"/>
              </w:rPr>
              <w:t>2</w:t>
            </w:r>
          </w:p>
        </w:tc>
        <w:tc>
          <w:tcPr>
            <w:tcW w:w="2268" w:type="dxa"/>
          </w:tcPr>
          <w:p w14:paraId="7E120758" w14:textId="77777777" w:rsidR="006B3261" w:rsidRPr="006353E1" w:rsidRDefault="006B3261" w:rsidP="00300C05">
            <w:pPr>
              <w:rPr>
                <w:rFonts w:ascii="Calibri" w:hAnsi="Calibri" w:cs="Calibri"/>
                <w:color w:val="0070C0"/>
                <w:sz w:val="18"/>
                <w:szCs w:val="18"/>
              </w:rPr>
            </w:pPr>
            <w:r w:rsidRPr="006353E1">
              <w:rPr>
                <w:rFonts w:ascii="Calibri" w:hAnsi="Calibri" w:cs="Calibri"/>
                <w:color w:val="0070C0"/>
                <w:sz w:val="18"/>
                <w:szCs w:val="18"/>
              </w:rPr>
              <w:t>Verantwortlich:</w:t>
            </w:r>
          </w:p>
          <w:p w14:paraId="14B0B960" w14:textId="77777777" w:rsidR="006B3261" w:rsidRPr="006353E1" w:rsidRDefault="006B3261" w:rsidP="00300C05">
            <w:pPr>
              <w:rPr>
                <w:rFonts w:ascii="Calibri" w:hAnsi="Calibri" w:cs="Calibri"/>
                <w:color w:val="0070C0"/>
                <w:sz w:val="18"/>
                <w:szCs w:val="18"/>
              </w:rPr>
            </w:pPr>
            <w:r w:rsidRPr="006353E1">
              <w:rPr>
                <w:rFonts w:ascii="Calibri" w:hAnsi="Calibri" w:cs="Calibri"/>
                <w:color w:val="0070C0"/>
                <w:sz w:val="18"/>
                <w:szCs w:val="18"/>
              </w:rPr>
              <w:t>Alexander Nothaft</w:t>
            </w:r>
          </w:p>
          <w:p w14:paraId="5AC45BD5" w14:textId="77777777" w:rsidR="006B3261" w:rsidRPr="006353E1" w:rsidRDefault="006B3261" w:rsidP="006B3261">
            <w:pPr>
              <w:rPr>
                <w:rFonts w:ascii="Calibri" w:hAnsi="Calibri" w:cs="Calibri"/>
                <w:color w:val="0070C0"/>
                <w:sz w:val="18"/>
                <w:szCs w:val="18"/>
              </w:rPr>
            </w:pPr>
            <w:r w:rsidRPr="006353E1">
              <w:rPr>
                <w:rFonts w:ascii="Calibri" w:hAnsi="Calibri" w:cs="Calibri"/>
                <w:color w:val="0070C0"/>
                <w:sz w:val="18"/>
                <w:szCs w:val="18"/>
              </w:rPr>
              <w:t>Leiter Kommunikation</w:t>
            </w:r>
          </w:p>
        </w:tc>
      </w:tr>
      <w:tr w:rsidR="006B3261" w14:paraId="55794EBE" w14:textId="77777777" w:rsidTr="0005747E">
        <w:tc>
          <w:tcPr>
            <w:tcW w:w="4323" w:type="dxa"/>
          </w:tcPr>
          <w:p w14:paraId="443E287C" w14:textId="1323FEAE" w:rsidR="006B3261" w:rsidRPr="006353E1" w:rsidRDefault="006B3261" w:rsidP="007B70A1">
            <w:pPr>
              <w:rPr>
                <w:rFonts w:ascii="Calibri" w:hAnsi="Calibri" w:cs="Calibri"/>
                <w:color w:val="0070C0"/>
              </w:rPr>
            </w:pPr>
            <w:r w:rsidRPr="006353E1">
              <w:rPr>
                <w:rFonts w:ascii="Calibri" w:hAnsi="Calibri" w:cs="Calibri"/>
                <w:color w:val="0070C0"/>
              </w:rPr>
              <w:t xml:space="preserve">Nr. </w:t>
            </w:r>
            <w:r w:rsidR="007B70A1">
              <w:rPr>
                <w:rFonts w:ascii="Calibri" w:hAnsi="Calibri" w:cs="Calibri"/>
                <w:color w:val="0070C0"/>
              </w:rPr>
              <w:t>1</w:t>
            </w:r>
            <w:r w:rsidRPr="006353E1">
              <w:rPr>
                <w:rFonts w:ascii="Calibri" w:hAnsi="Calibri" w:cs="Calibri"/>
                <w:color w:val="0070C0"/>
              </w:rPr>
              <w:t>/</w:t>
            </w:r>
            <w:r w:rsidR="002916AC">
              <w:rPr>
                <w:rFonts w:ascii="Calibri" w:hAnsi="Calibri" w:cs="Calibri"/>
                <w:color w:val="0070C0"/>
              </w:rPr>
              <w:t>202</w:t>
            </w:r>
            <w:r w:rsidR="007B70A1">
              <w:rPr>
                <w:rFonts w:ascii="Calibri" w:hAnsi="Calibri" w:cs="Calibri"/>
                <w:color w:val="0070C0"/>
              </w:rPr>
              <w:t>2</w:t>
            </w:r>
            <w:r w:rsidRPr="006353E1">
              <w:rPr>
                <w:rFonts w:ascii="Calibri" w:hAnsi="Calibri" w:cs="Calibri"/>
                <w:color w:val="0070C0"/>
              </w:rPr>
              <w:t xml:space="preserve">                                   </w:t>
            </w:r>
          </w:p>
        </w:tc>
        <w:tc>
          <w:tcPr>
            <w:tcW w:w="3118" w:type="dxa"/>
            <w:gridSpan w:val="2"/>
          </w:tcPr>
          <w:p w14:paraId="1FA3F0F8" w14:textId="77777777" w:rsidR="006B3261" w:rsidRPr="006353E1" w:rsidRDefault="006B3261">
            <w:pPr>
              <w:rPr>
                <w:rFonts w:ascii="Calibri" w:hAnsi="Calibri" w:cs="Calibri"/>
                <w:color w:val="0070C0"/>
              </w:rPr>
            </w:pPr>
          </w:p>
        </w:tc>
        <w:tc>
          <w:tcPr>
            <w:tcW w:w="2268" w:type="dxa"/>
          </w:tcPr>
          <w:p w14:paraId="6F601E5A" w14:textId="77777777" w:rsidR="006B3261" w:rsidRPr="006353E1" w:rsidRDefault="006B3261" w:rsidP="00002DA4">
            <w:pPr>
              <w:rPr>
                <w:rFonts w:ascii="Calibri" w:hAnsi="Calibri" w:cs="Calibri"/>
                <w:color w:val="0070C0"/>
                <w:sz w:val="18"/>
                <w:szCs w:val="18"/>
              </w:rPr>
            </w:pPr>
          </w:p>
        </w:tc>
      </w:tr>
      <w:tr w:rsidR="006B3261" w14:paraId="6AAE2156" w14:textId="77777777" w:rsidTr="0005747E">
        <w:tc>
          <w:tcPr>
            <w:tcW w:w="4323" w:type="dxa"/>
          </w:tcPr>
          <w:p w14:paraId="29CEA62B" w14:textId="77777777" w:rsidR="006B3261" w:rsidRPr="006353E1" w:rsidRDefault="006B3261">
            <w:pPr>
              <w:rPr>
                <w:rFonts w:ascii="Calibri" w:hAnsi="Calibri" w:cs="Calibri"/>
                <w:color w:val="0070C0"/>
              </w:rPr>
            </w:pPr>
          </w:p>
        </w:tc>
        <w:tc>
          <w:tcPr>
            <w:tcW w:w="3118" w:type="dxa"/>
            <w:gridSpan w:val="2"/>
          </w:tcPr>
          <w:p w14:paraId="77C97C9C" w14:textId="77777777" w:rsidR="006B3261" w:rsidRPr="006353E1" w:rsidRDefault="006B3261">
            <w:pPr>
              <w:rPr>
                <w:rFonts w:ascii="Calibri" w:hAnsi="Calibri" w:cs="Calibri"/>
                <w:color w:val="0070C0"/>
              </w:rPr>
            </w:pPr>
          </w:p>
        </w:tc>
        <w:tc>
          <w:tcPr>
            <w:tcW w:w="2268" w:type="dxa"/>
          </w:tcPr>
          <w:p w14:paraId="07BE6755" w14:textId="77777777" w:rsidR="006B3261" w:rsidRPr="006353E1" w:rsidRDefault="006B3261" w:rsidP="00E039AA">
            <w:pPr>
              <w:jc w:val="left"/>
              <w:rPr>
                <w:rFonts w:ascii="Calibri" w:hAnsi="Calibri" w:cs="Calibri"/>
                <w:color w:val="0070C0"/>
                <w:sz w:val="18"/>
                <w:szCs w:val="18"/>
              </w:rPr>
            </w:pPr>
            <w:r w:rsidRPr="006353E1">
              <w:rPr>
                <w:rFonts w:ascii="Calibri" w:hAnsi="Calibri" w:cs="Calibri"/>
                <w:color w:val="0070C0"/>
                <w:sz w:val="18"/>
                <w:szCs w:val="18"/>
              </w:rPr>
              <w:t>Telefon</w:t>
            </w:r>
            <w:r w:rsidR="00E039AA" w:rsidRPr="006353E1">
              <w:rPr>
                <w:rFonts w:ascii="Calibri" w:hAnsi="Calibri" w:cs="Calibri"/>
                <w:color w:val="0070C0"/>
                <w:sz w:val="18"/>
                <w:szCs w:val="18"/>
              </w:rPr>
              <w:tab/>
            </w:r>
            <w:r w:rsidRPr="006353E1">
              <w:rPr>
                <w:rFonts w:ascii="Calibri" w:hAnsi="Calibri" w:cs="Calibri"/>
                <w:color w:val="0070C0"/>
                <w:sz w:val="18"/>
                <w:szCs w:val="18"/>
              </w:rPr>
              <w:t>[030] 59 00 91-523</w:t>
            </w:r>
          </w:p>
          <w:p w14:paraId="2E8EE8B1" w14:textId="77777777" w:rsidR="006B3261" w:rsidRPr="006353E1" w:rsidRDefault="006B3261" w:rsidP="00002DA4">
            <w:pPr>
              <w:rPr>
                <w:rFonts w:ascii="Calibri" w:hAnsi="Calibri" w:cs="Calibri"/>
                <w:color w:val="0070C0"/>
                <w:sz w:val="18"/>
                <w:szCs w:val="18"/>
              </w:rPr>
            </w:pPr>
            <w:r w:rsidRPr="006353E1">
              <w:rPr>
                <w:rFonts w:ascii="Calibri" w:hAnsi="Calibri" w:cs="Calibri"/>
                <w:color w:val="0070C0"/>
                <w:sz w:val="18"/>
                <w:szCs w:val="18"/>
              </w:rPr>
              <w:t xml:space="preserve">Telefax </w:t>
            </w:r>
            <w:r w:rsidR="00E039AA" w:rsidRPr="006353E1">
              <w:rPr>
                <w:rFonts w:ascii="Calibri" w:hAnsi="Calibri" w:cs="Calibri"/>
                <w:color w:val="0070C0"/>
                <w:sz w:val="18"/>
                <w:szCs w:val="18"/>
              </w:rPr>
              <w:tab/>
            </w:r>
            <w:r w:rsidRPr="006353E1">
              <w:rPr>
                <w:rFonts w:ascii="Calibri" w:hAnsi="Calibri" w:cs="Calibri"/>
                <w:color w:val="0070C0"/>
                <w:sz w:val="18"/>
                <w:szCs w:val="18"/>
              </w:rPr>
              <w:t>[030] 59 00 91-501</w:t>
            </w:r>
          </w:p>
          <w:p w14:paraId="3B81ACB6" w14:textId="77777777" w:rsidR="006B3261" w:rsidRPr="006353E1" w:rsidRDefault="006B3261" w:rsidP="00002DA4">
            <w:pPr>
              <w:rPr>
                <w:rFonts w:ascii="Calibri" w:hAnsi="Calibri" w:cs="Calibri"/>
                <w:color w:val="0070C0"/>
                <w:sz w:val="18"/>
                <w:szCs w:val="18"/>
              </w:rPr>
            </w:pPr>
            <w:r w:rsidRPr="006353E1">
              <w:rPr>
                <w:rFonts w:ascii="Calibri" w:hAnsi="Calibri" w:cs="Calibri"/>
                <w:color w:val="0070C0"/>
                <w:sz w:val="18"/>
                <w:szCs w:val="18"/>
              </w:rPr>
              <w:t>E-Mail: nothaft@vdpb.de</w:t>
            </w:r>
          </w:p>
          <w:p w14:paraId="78CB96DC" w14:textId="77777777" w:rsidR="00040924" w:rsidRPr="00040924" w:rsidRDefault="00045380" w:rsidP="00040924">
            <w:pPr>
              <w:rPr>
                <w:rFonts w:ascii="Calibri" w:hAnsi="Calibri" w:cs="Calibri"/>
                <w:color w:val="0070C0"/>
                <w:sz w:val="18"/>
                <w:szCs w:val="18"/>
              </w:rPr>
            </w:pPr>
            <w:hyperlink r:id="rId9" w:history="1">
              <w:r w:rsidR="00040924" w:rsidRPr="00040924">
                <w:rPr>
                  <w:rFonts w:asciiTheme="minorHAnsi" w:hAnsiTheme="minorHAnsi" w:cstheme="minorHAnsi"/>
                  <w:color w:val="0070C0"/>
                  <w:sz w:val="18"/>
                  <w:szCs w:val="18"/>
                </w:rPr>
                <w:t>www.bausparkassen.de</w:t>
              </w:r>
            </w:hyperlink>
            <w:r w:rsidR="00040924">
              <w:rPr>
                <w:rFonts w:ascii="Calibri" w:hAnsi="Calibri" w:cs="Calibri"/>
                <w:color w:val="0070C0"/>
                <w:sz w:val="18"/>
                <w:szCs w:val="18"/>
              </w:rPr>
              <w:br/>
            </w:r>
            <w:r w:rsidR="00040924" w:rsidRPr="00040924">
              <w:rPr>
                <w:rFonts w:ascii="Calibri" w:hAnsi="Calibri" w:cs="Calibri"/>
                <w:color w:val="0070C0"/>
                <w:sz w:val="18"/>
                <w:szCs w:val="18"/>
              </w:rPr>
              <w:t>Twitter: @Verband_VdPB</w:t>
            </w:r>
          </w:p>
          <w:p w14:paraId="35676079" w14:textId="77777777" w:rsidR="005A3815" w:rsidRPr="006353E1" w:rsidRDefault="005A3815" w:rsidP="00002DA4">
            <w:pPr>
              <w:rPr>
                <w:rFonts w:ascii="Calibri" w:hAnsi="Calibri" w:cs="Calibri"/>
                <w:color w:val="0070C0"/>
                <w:sz w:val="18"/>
                <w:szCs w:val="18"/>
              </w:rPr>
            </w:pPr>
          </w:p>
          <w:p w14:paraId="59ECC0D2" w14:textId="77777777" w:rsidR="006B3261" w:rsidRPr="006353E1" w:rsidRDefault="006B3261">
            <w:pPr>
              <w:rPr>
                <w:rFonts w:ascii="Calibri" w:hAnsi="Calibri" w:cs="Calibri"/>
                <w:color w:val="0070C0"/>
                <w:sz w:val="18"/>
                <w:szCs w:val="18"/>
              </w:rPr>
            </w:pPr>
          </w:p>
        </w:tc>
      </w:tr>
      <w:tr w:rsidR="006B3261" w14:paraId="12580791" w14:textId="77777777" w:rsidTr="0005747E">
        <w:tc>
          <w:tcPr>
            <w:tcW w:w="4323" w:type="dxa"/>
          </w:tcPr>
          <w:p w14:paraId="3541D368" w14:textId="77777777" w:rsidR="006B3261" w:rsidRPr="006353E1" w:rsidRDefault="006B3261">
            <w:pPr>
              <w:rPr>
                <w:rFonts w:ascii="Calibri" w:hAnsi="Calibri" w:cs="Calibri"/>
                <w:color w:val="0070C0"/>
              </w:rPr>
            </w:pPr>
          </w:p>
        </w:tc>
        <w:tc>
          <w:tcPr>
            <w:tcW w:w="3118" w:type="dxa"/>
            <w:gridSpan w:val="2"/>
          </w:tcPr>
          <w:p w14:paraId="39581D97" w14:textId="77777777" w:rsidR="006B3261" w:rsidRPr="006353E1" w:rsidRDefault="006B3261">
            <w:pPr>
              <w:rPr>
                <w:rFonts w:ascii="Calibri" w:hAnsi="Calibri" w:cs="Calibri"/>
                <w:color w:val="0070C0"/>
              </w:rPr>
            </w:pPr>
          </w:p>
        </w:tc>
        <w:tc>
          <w:tcPr>
            <w:tcW w:w="2268" w:type="dxa"/>
          </w:tcPr>
          <w:p w14:paraId="0473F769" w14:textId="77777777" w:rsidR="006B3261" w:rsidRPr="006353E1" w:rsidRDefault="006B3261">
            <w:pPr>
              <w:rPr>
                <w:rFonts w:ascii="Calibri" w:hAnsi="Calibri" w:cs="Calibri"/>
                <w:color w:val="0070C0"/>
                <w:sz w:val="18"/>
                <w:szCs w:val="18"/>
              </w:rPr>
            </w:pPr>
            <w:r w:rsidRPr="006353E1">
              <w:rPr>
                <w:rFonts w:ascii="Calibri" w:hAnsi="Calibri" w:cs="Calibri"/>
                <w:color w:val="0070C0"/>
                <w:sz w:val="18"/>
                <w:szCs w:val="18"/>
              </w:rPr>
              <w:t>Postfach 30 30 79</w:t>
            </w:r>
          </w:p>
          <w:p w14:paraId="6FE72A8B" w14:textId="77777777" w:rsidR="006B3261" w:rsidRPr="006353E1" w:rsidRDefault="006B3261">
            <w:pPr>
              <w:rPr>
                <w:rFonts w:ascii="Calibri" w:hAnsi="Calibri" w:cs="Calibri"/>
                <w:color w:val="0070C0"/>
                <w:sz w:val="18"/>
                <w:szCs w:val="18"/>
              </w:rPr>
            </w:pPr>
            <w:r w:rsidRPr="006353E1">
              <w:rPr>
                <w:rFonts w:ascii="Calibri" w:hAnsi="Calibri" w:cs="Calibri"/>
                <w:color w:val="0070C0"/>
                <w:sz w:val="18"/>
                <w:szCs w:val="18"/>
              </w:rPr>
              <w:t>10730 Berlin</w:t>
            </w:r>
          </w:p>
        </w:tc>
      </w:tr>
    </w:tbl>
    <w:p w14:paraId="1A5480D3" w14:textId="77777777" w:rsidR="000131FD" w:rsidRDefault="000131FD" w:rsidP="004A2315">
      <w:pPr>
        <w:pStyle w:val="Absatz"/>
        <w:spacing w:before="0" w:after="0"/>
        <w:ind w:right="1982"/>
        <w:jc w:val="center"/>
        <w:rPr>
          <w:rFonts w:ascii="Calibri" w:hAnsi="Calibri" w:cs="Calibri"/>
          <w:b/>
          <w:bCs/>
          <w:sz w:val="32"/>
          <w:szCs w:val="28"/>
        </w:rPr>
      </w:pPr>
    </w:p>
    <w:p w14:paraId="665C8368" w14:textId="77777777" w:rsidR="007D6950" w:rsidRDefault="009C609D" w:rsidP="004A2315">
      <w:pPr>
        <w:pStyle w:val="Absatz"/>
        <w:spacing w:before="0" w:after="0"/>
        <w:ind w:right="1982"/>
        <w:jc w:val="center"/>
        <w:rPr>
          <w:rFonts w:ascii="Calibri" w:hAnsi="Calibri" w:cs="Calibri"/>
          <w:b/>
          <w:bCs/>
          <w:sz w:val="32"/>
          <w:szCs w:val="28"/>
        </w:rPr>
      </w:pPr>
      <w:r>
        <w:rPr>
          <w:rFonts w:ascii="Calibri" w:hAnsi="Calibri" w:cs="Calibri"/>
          <w:b/>
          <w:bCs/>
          <w:sz w:val="32"/>
          <w:szCs w:val="28"/>
        </w:rPr>
        <w:t xml:space="preserve">„Jung kauft Alt“ </w:t>
      </w:r>
    </w:p>
    <w:p w14:paraId="30C0D860" w14:textId="30C349C3" w:rsidR="0005747E" w:rsidRPr="007D6950" w:rsidRDefault="007D6950" w:rsidP="004A2315">
      <w:pPr>
        <w:pStyle w:val="Absatz"/>
        <w:spacing w:before="0" w:after="0"/>
        <w:ind w:right="1982"/>
        <w:jc w:val="center"/>
        <w:rPr>
          <w:rFonts w:ascii="Calibri" w:hAnsi="Calibri" w:cs="Calibri"/>
          <w:b/>
          <w:bCs/>
          <w:sz w:val="28"/>
          <w:szCs w:val="28"/>
        </w:rPr>
      </w:pPr>
      <w:r w:rsidRPr="007D6950">
        <w:rPr>
          <w:rFonts w:ascii="Calibri" w:hAnsi="Calibri" w:cs="Calibri"/>
          <w:b/>
          <w:bCs/>
          <w:sz w:val="28"/>
          <w:szCs w:val="28"/>
        </w:rPr>
        <w:t xml:space="preserve">Kommunale Initiativen mit Zukunftspotenzial </w:t>
      </w:r>
    </w:p>
    <w:p w14:paraId="4BA33B80" w14:textId="77777777" w:rsidR="002916AC" w:rsidRPr="002916AC" w:rsidRDefault="002916AC" w:rsidP="002916AC">
      <w:pPr>
        <w:pStyle w:val="Absatz"/>
        <w:tabs>
          <w:tab w:val="left" w:pos="6237"/>
        </w:tabs>
        <w:spacing w:before="0" w:after="0"/>
        <w:ind w:right="1700"/>
        <w:jc w:val="center"/>
        <w:rPr>
          <w:rFonts w:ascii="Calibri" w:hAnsi="Calibri" w:cs="Calibri"/>
          <w:b/>
          <w:sz w:val="32"/>
        </w:rPr>
      </w:pPr>
    </w:p>
    <w:p w14:paraId="6FBEA98F" w14:textId="2EDDE1EC" w:rsidR="00030A14" w:rsidRDefault="009C609D" w:rsidP="00030A14">
      <w:pPr>
        <w:pStyle w:val="NurText"/>
        <w:spacing w:line="360" w:lineRule="auto"/>
        <w:ind w:right="1985"/>
        <w:rPr>
          <w:rFonts w:ascii="Calibri" w:hAnsi="Calibri" w:cs="Calibri"/>
          <w:b/>
          <w:bCs/>
          <w:sz w:val="22"/>
          <w:szCs w:val="22"/>
        </w:rPr>
      </w:pPr>
      <w:r w:rsidRPr="004E1AEF">
        <w:rPr>
          <w:rFonts w:ascii="Calibri" w:hAnsi="Calibri" w:cs="Calibri"/>
          <w:b/>
          <w:bCs/>
          <w:sz w:val="22"/>
          <w:szCs w:val="22"/>
        </w:rPr>
        <w:t xml:space="preserve">Junge Menschen kaufen mit </w:t>
      </w:r>
      <w:r w:rsidR="00C716F6">
        <w:rPr>
          <w:rFonts w:ascii="Calibri" w:hAnsi="Calibri" w:cs="Calibri"/>
          <w:b/>
          <w:bCs/>
          <w:sz w:val="22"/>
          <w:szCs w:val="22"/>
        </w:rPr>
        <w:t xml:space="preserve">Hilfe </w:t>
      </w:r>
      <w:r w:rsidRPr="004E1AEF">
        <w:rPr>
          <w:rFonts w:ascii="Calibri" w:hAnsi="Calibri" w:cs="Calibri"/>
          <w:b/>
          <w:bCs/>
          <w:sz w:val="22"/>
          <w:szCs w:val="22"/>
        </w:rPr>
        <w:t>von Kommunen alte Häuser, um Ortskerne lebendig zu halten. Solche Initiativen haben zwei zentrale Ziele: Leerstandsvermeidung und Wohneigentumsbildung für Familien</w:t>
      </w:r>
      <w:r w:rsidR="00030A14" w:rsidRPr="004E1AEF">
        <w:rPr>
          <w:rFonts w:ascii="Calibri" w:hAnsi="Calibri" w:cs="Calibri"/>
          <w:b/>
          <w:bCs/>
          <w:sz w:val="22"/>
          <w:szCs w:val="22"/>
        </w:rPr>
        <w:t xml:space="preserve">. </w:t>
      </w:r>
      <w:r w:rsidR="00CB23EB" w:rsidRPr="004E1AEF">
        <w:rPr>
          <w:rFonts w:ascii="Calibri" w:hAnsi="Calibri" w:cs="Calibri"/>
          <w:b/>
          <w:bCs/>
          <w:sz w:val="22"/>
          <w:szCs w:val="22"/>
        </w:rPr>
        <w:t>Eine Untersuchung des empirica-Instituts in Berlin im Auftrag des Verbands der Privaten Bausparkassen hat jetzt das bundesweite Potenzial für „Jung kauft Alt“-Modelle ab</w:t>
      </w:r>
      <w:r w:rsidR="00C716F6">
        <w:rPr>
          <w:rFonts w:ascii="Calibri" w:hAnsi="Calibri" w:cs="Calibri"/>
          <w:b/>
          <w:bCs/>
          <w:sz w:val="22"/>
          <w:szCs w:val="22"/>
        </w:rPr>
        <w:t>ge</w:t>
      </w:r>
      <w:r w:rsidR="00CB23EB" w:rsidRPr="004E1AEF">
        <w:rPr>
          <w:rFonts w:ascii="Calibri" w:hAnsi="Calibri" w:cs="Calibri"/>
          <w:b/>
          <w:bCs/>
          <w:sz w:val="22"/>
          <w:szCs w:val="22"/>
        </w:rPr>
        <w:t>schät</w:t>
      </w:r>
      <w:r w:rsidR="00C716F6">
        <w:rPr>
          <w:rFonts w:ascii="Calibri" w:hAnsi="Calibri" w:cs="Calibri"/>
          <w:b/>
          <w:bCs/>
          <w:sz w:val="22"/>
          <w:szCs w:val="22"/>
        </w:rPr>
        <w:t>zt</w:t>
      </w:r>
      <w:r w:rsidR="00C0132E" w:rsidRPr="004E1AEF">
        <w:rPr>
          <w:rFonts w:ascii="Calibri" w:hAnsi="Calibri" w:cs="Calibri"/>
          <w:b/>
          <w:bCs/>
          <w:sz w:val="22"/>
          <w:szCs w:val="22"/>
        </w:rPr>
        <w:t xml:space="preserve"> </w:t>
      </w:r>
      <w:r w:rsidR="00CB23EB" w:rsidRPr="004E1AEF">
        <w:rPr>
          <w:rFonts w:ascii="Calibri" w:hAnsi="Calibri" w:cs="Calibri"/>
          <w:b/>
          <w:bCs/>
          <w:sz w:val="22"/>
          <w:szCs w:val="22"/>
        </w:rPr>
        <w:t xml:space="preserve">und </w:t>
      </w:r>
      <w:r w:rsidR="00C0132E" w:rsidRPr="004E1AEF">
        <w:rPr>
          <w:rFonts w:ascii="Calibri" w:hAnsi="Calibri" w:cs="Calibri"/>
          <w:b/>
          <w:bCs/>
          <w:sz w:val="22"/>
          <w:szCs w:val="22"/>
        </w:rPr>
        <w:t xml:space="preserve">skizziert die </w:t>
      </w:r>
      <w:r w:rsidR="00CB23EB" w:rsidRPr="004E1AEF">
        <w:rPr>
          <w:rFonts w:ascii="Calibri" w:hAnsi="Calibri" w:cs="Calibri"/>
          <w:b/>
          <w:bCs/>
          <w:sz w:val="22"/>
          <w:szCs w:val="22"/>
        </w:rPr>
        <w:t>Inhalte t</w:t>
      </w:r>
      <w:r w:rsidR="00333AB8" w:rsidRPr="004E1AEF">
        <w:rPr>
          <w:rFonts w:ascii="Calibri" w:hAnsi="Calibri" w:cs="Calibri"/>
          <w:b/>
          <w:bCs/>
          <w:sz w:val="22"/>
          <w:szCs w:val="22"/>
        </w:rPr>
        <w:t>ypischer Förderprogramme. „Die Idee verdient die Unterstützung der Bundespolitik</w:t>
      </w:r>
      <w:r w:rsidR="00C0132E" w:rsidRPr="004E1AEF">
        <w:rPr>
          <w:rFonts w:ascii="Calibri" w:hAnsi="Calibri" w:cs="Calibri"/>
          <w:b/>
          <w:bCs/>
          <w:sz w:val="22"/>
          <w:szCs w:val="22"/>
        </w:rPr>
        <w:t>“, erklärte dazu der Verbandsvorsitzende Bernd Hertweck</w:t>
      </w:r>
      <w:r w:rsidR="00333AB8" w:rsidRPr="004E1AEF">
        <w:rPr>
          <w:rFonts w:ascii="Calibri" w:hAnsi="Calibri" w:cs="Calibri"/>
          <w:b/>
          <w:bCs/>
          <w:sz w:val="22"/>
          <w:szCs w:val="22"/>
        </w:rPr>
        <w:t xml:space="preserve">. </w:t>
      </w:r>
      <w:r w:rsidR="00C0132E" w:rsidRPr="004E1AEF">
        <w:rPr>
          <w:rFonts w:ascii="Calibri" w:hAnsi="Calibri" w:cs="Calibri"/>
          <w:b/>
          <w:bCs/>
          <w:sz w:val="22"/>
          <w:szCs w:val="22"/>
        </w:rPr>
        <w:t>„</w:t>
      </w:r>
      <w:r w:rsidR="00333AB8" w:rsidRPr="004E1AEF">
        <w:rPr>
          <w:rFonts w:ascii="Calibri" w:hAnsi="Calibri" w:cs="Calibri"/>
          <w:b/>
          <w:bCs/>
          <w:sz w:val="22"/>
          <w:szCs w:val="22"/>
        </w:rPr>
        <w:t>Wohneigentum ist ein Haltefaktor im ländlichen Raum</w:t>
      </w:r>
      <w:r w:rsidR="004E1AEF" w:rsidRPr="004E1AEF">
        <w:rPr>
          <w:rFonts w:ascii="Calibri" w:hAnsi="Calibri" w:cs="Calibri"/>
          <w:b/>
          <w:bCs/>
          <w:sz w:val="22"/>
          <w:szCs w:val="22"/>
        </w:rPr>
        <w:t xml:space="preserve"> und kann dazu beitragen, Regionen zu stabilisieren.“</w:t>
      </w:r>
      <w:r w:rsidR="00333AB8" w:rsidRPr="004E1AEF">
        <w:rPr>
          <w:rFonts w:ascii="Calibri" w:hAnsi="Calibri" w:cs="Calibri"/>
          <w:b/>
          <w:bCs/>
          <w:sz w:val="22"/>
          <w:szCs w:val="22"/>
        </w:rPr>
        <w:t xml:space="preserve"> </w:t>
      </w:r>
      <w:r w:rsidR="00CB23EB" w:rsidRPr="004E1AEF">
        <w:rPr>
          <w:rFonts w:ascii="Calibri" w:hAnsi="Calibri" w:cs="Calibri"/>
          <w:b/>
          <w:bCs/>
          <w:sz w:val="22"/>
          <w:szCs w:val="22"/>
        </w:rPr>
        <w:t xml:space="preserve">  </w:t>
      </w:r>
    </w:p>
    <w:p w14:paraId="666BB6B0" w14:textId="77777777" w:rsidR="004E1AEF" w:rsidRPr="009D03DA" w:rsidRDefault="004E1AEF" w:rsidP="00030A14">
      <w:pPr>
        <w:pStyle w:val="NurText"/>
        <w:spacing w:line="360" w:lineRule="auto"/>
        <w:ind w:right="1985"/>
        <w:rPr>
          <w:rFonts w:ascii="Calibri" w:hAnsi="Calibri" w:cs="Calibri"/>
          <w:b/>
          <w:bCs/>
          <w:sz w:val="10"/>
          <w:szCs w:val="10"/>
        </w:rPr>
      </w:pPr>
    </w:p>
    <w:p w14:paraId="4D4C72D3" w14:textId="3ABE37A7" w:rsidR="004E1AEF" w:rsidRDefault="004E1AEF" w:rsidP="00030A14">
      <w:pPr>
        <w:pStyle w:val="NurText"/>
        <w:spacing w:line="360" w:lineRule="auto"/>
        <w:ind w:right="1985"/>
        <w:rPr>
          <w:rFonts w:ascii="Calibri" w:hAnsi="Calibri" w:cs="Calibri"/>
          <w:bCs/>
          <w:sz w:val="22"/>
          <w:szCs w:val="22"/>
        </w:rPr>
      </w:pPr>
      <w:r w:rsidRPr="004E1AEF">
        <w:rPr>
          <w:rFonts w:ascii="Calibri" w:hAnsi="Calibri" w:cs="Calibri"/>
          <w:bCs/>
          <w:sz w:val="22"/>
          <w:szCs w:val="22"/>
        </w:rPr>
        <w:t xml:space="preserve">Bundesweit 119 Gemeinden </w:t>
      </w:r>
      <w:r>
        <w:rPr>
          <w:rFonts w:ascii="Calibri" w:hAnsi="Calibri" w:cs="Calibri"/>
          <w:bCs/>
          <w:sz w:val="22"/>
          <w:szCs w:val="22"/>
        </w:rPr>
        <w:t xml:space="preserve">mit „Jung kauft Alt“-Modellen </w:t>
      </w:r>
      <w:r w:rsidRPr="004E1AEF">
        <w:rPr>
          <w:rFonts w:ascii="Calibri" w:hAnsi="Calibri" w:cs="Calibri"/>
          <w:bCs/>
          <w:sz w:val="22"/>
          <w:szCs w:val="22"/>
        </w:rPr>
        <w:t xml:space="preserve">hat das empirica-Institut Berlin </w:t>
      </w:r>
      <w:r>
        <w:rPr>
          <w:rFonts w:ascii="Calibri" w:hAnsi="Calibri" w:cs="Calibri"/>
          <w:bCs/>
          <w:sz w:val="22"/>
          <w:szCs w:val="22"/>
        </w:rPr>
        <w:t xml:space="preserve">identifiziert. </w:t>
      </w:r>
      <w:r w:rsidR="00DD5521">
        <w:rPr>
          <w:rFonts w:ascii="Calibri" w:hAnsi="Calibri" w:cs="Calibri"/>
          <w:bCs/>
          <w:sz w:val="22"/>
          <w:szCs w:val="22"/>
        </w:rPr>
        <w:t>Den Anfang machte vor rund 15 Jahren die Gemeinde Hiddenhausen i</w:t>
      </w:r>
      <w:r w:rsidR="00AB4BA7">
        <w:rPr>
          <w:rFonts w:ascii="Calibri" w:hAnsi="Calibri" w:cs="Calibri"/>
          <w:bCs/>
          <w:sz w:val="22"/>
          <w:szCs w:val="22"/>
        </w:rPr>
        <w:t xml:space="preserve">n </w:t>
      </w:r>
      <w:r w:rsidR="00DD5521">
        <w:rPr>
          <w:rFonts w:ascii="Calibri" w:hAnsi="Calibri" w:cs="Calibri"/>
          <w:bCs/>
          <w:sz w:val="22"/>
          <w:szCs w:val="22"/>
        </w:rPr>
        <w:t xml:space="preserve">Nordrein-Westfalen. </w:t>
      </w:r>
      <w:r w:rsidR="00AB4BA7">
        <w:rPr>
          <w:rFonts w:ascii="Calibri" w:hAnsi="Calibri" w:cs="Calibri"/>
          <w:bCs/>
          <w:sz w:val="22"/>
          <w:szCs w:val="22"/>
        </w:rPr>
        <w:t xml:space="preserve">Dort und in Niedersachen und Hessen finden sich auch die meisten dieser Gemeinden. In Schleswig-Holstein und dem Saarland gibt </w:t>
      </w:r>
      <w:r w:rsidR="00C716F6">
        <w:rPr>
          <w:rFonts w:ascii="Calibri" w:hAnsi="Calibri" w:cs="Calibri"/>
          <w:bCs/>
          <w:sz w:val="22"/>
          <w:szCs w:val="22"/>
        </w:rPr>
        <w:t>es</w:t>
      </w:r>
      <w:r w:rsidR="00AB4BA7">
        <w:rPr>
          <w:rFonts w:ascii="Calibri" w:hAnsi="Calibri" w:cs="Calibri"/>
          <w:bCs/>
          <w:sz w:val="22"/>
          <w:szCs w:val="22"/>
        </w:rPr>
        <w:t xml:space="preserve"> jeweils eine, in Sachsen-Anhalt und Baden-Württemberg jeweils zwei und in Bayern und Rheinland-Pfalz jeweils vier Gemeinden.  </w:t>
      </w:r>
    </w:p>
    <w:p w14:paraId="41D73CB7" w14:textId="4C179734" w:rsidR="00AB4BA7" w:rsidRPr="009D03DA" w:rsidRDefault="00AB4BA7" w:rsidP="00030A14">
      <w:pPr>
        <w:pStyle w:val="NurText"/>
        <w:spacing w:line="360" w:lineRule="auto"/>
        <w:ind w:right="1985"/>
        <w:rPr>
          <w:rFonts w:ascii="Calibri" w:hAnsi="Calibri" w:cs="Calibri"/>
          <w:bCs/>
          <w:sz w:val="10"/>
          <w:szCs w:val="10"/>
        </w:rPr>
      </w:pPr>
    </w:p>
    <w:p w14:paraId="32FFFA89" w14:textId="30F5BBA5" w:rsidR="003F32FB" w:rsidRDefault="00AB4BA7" w:rsidP="00030A14">
      <w:pPr>
        <w:pStyle w:val="NurText"/>
        <w:spacing w:line="360" w:lineRule="auto"/>
        <w:ind w:right="1985"/>
        <w:rPr>
          <w:rFonts w:ascii="Calibri" w:hAnsi="Calibri" w:cs="Calibri"/>
          <w:bCs/>
          <w:sz w:val="22"/>
          <w:szCs w:val="22"/>
        </w:rPr>
      </w:pPr>
      <w:r>
        <w:rPr>
          <w:rFonts w:ascii="Calibri" w:hAnsi="Calibri" w:cs="Calibri"/>
          <w:bCs/>
          <w:sz w:val="22"/>
          <w:szCs w:val="22"/>
        </w:rPr>
        <w:t xml:space="preserve">Acht Gemeinden, in denen „Jung kauft Alt“-Modelle zwischen 2007 und 2017 eingeführt wurden, hat das Institut genauer untersucht. </w:t>
      </w:r>
      <w:r w:rsidR="000E75A0">
        <w:rPr>
          <w:rFonts w:ascii="Calibri" w:hAnsi="Calibri" w:cs="Calibri"/>
          <w:bCs/>
          <w:sz w:val="22"/>
          <w:szCs w:val="22"/>
        </w:rPr>
        <w:t>Sie verfolgen vor allem zwei Ziele: Zum einen sollen Leerstände vermieden werden. Dabei zeigt sich, so Instituts</w:t>
      </w:r>
      <w:r w:rsidR="00C716F6">
        <w:rPr>
          <w:rFonts w:ascii="Calibri" w:hAnsi="Calibri" w:cs="Calibri"/>
          <w:bCs/>
          <w:sz w:val="22"/>
          <w:szCs w:val="22"/>
        </w:rPr>
        <w:t>l</w:t>
      </w:r>
      <w:r w:rsidR="000E75A0">
        <w:rPr>
          <w:rFonts w:ascii="Calibri" w:hAnsi="Calibri" w:cs="Calibri"/>
          <w:bCs/>
          <w:sz w:val="22"/>
          <w:szCs w:val="22"/>
        </w:rPr>
        <w:t xml:space="preserve">eiter Dr. Reiner Braun, dass die Beseitigung </w:t>
      </w:r>
      <w:r w:rsidR="00957487">
        <w:rPr>
          <w:rFonts w:ascii="Calibri" w:hAnsi="Calibri" w:cs="Calibri"/>
          <w:bCs/>
          <w:sz w:val="22"/>
          <w:szCs w:val="22"/>
        </w:rPr>
        <w:t xml:space="preserve">bereits vorhandener </w:t>
      </w:r>
      <w:r w:rsidR="000E75A0">
        <w:rPr>
          <w:rFonts w:ascii="Calibri" w:hAnsi="Calibri" w:cs="Calibri"/>
          <w:bCs/>
          <w:sz w:val="22"/>
          <w:szCs w:val="22"/>
        </w:rPr>
        <w:t xml:space="preserve">Leerstände weniger wichtig ist, als möglichen zukünftigen Leerständen vorzubeugen. Zum anderen soll jungen </w:t>
      </w:r>
      <w:r w:rsidR="000E75A0">
        <w:rPr>
          <w:rFonts w:ascii="Calibri" w:hAnsi="Calibri" w:cs="Calibri"/>
          <w:bCs/>
          <w:sz w:val="22"/>
          <w:szCs w:val="22"/>
        </w:rPr>
        <w:lastRenderedPageBreak/>
        <w:t xml:space="preserve">Familien Wohneigentumsbildung ermöglicht werden. </w:t>
      </w:r>
      <w:r w:rsidR="003F32FB">
        <w:rPr>
          <w:rFonts w:ascii="Calibri" w:hAnsi="Calibri" w:cs="Calibri"/>
          <w:bCs/>
          <w:sz w:val="22"/>
          <w:szCs w:val="22"/>
        </w:rPr>
        <w:t xml:space="preserve">Darüber hinaus haben einzelne Gemeinden weitere Ziele formuliert. Diese reichen vom Bremsen des demografischen Wandels über eine verbesserte Auslastung der Infrastruktur und einer energetischen Verbesserung alter Wohngebäude bis hin zur Reduzierung des Flächenverbrauchs. </w:t>
      </w:r>
    </w:p>
    <w:p w14:paraId="775FF788" w14:textId="77777777" w:rsidR="003F32FB" w:rsidRPr="009D03DA" w:rsidRDefault="003F32FB" w:rsidP="00030A14">
      <w:pPr>
        <w:pStyle w:val="NurText"/>
        <w:spacing w:line="360" w:lineRule="auto"/>
        <w:ind w:right="1985"/>
        <w:rPr>
          <w:rFonts w:ascii="Calibri" w:hAnsi="Calibri" w:cs="Calibri"/>
          <w:bCs/>
          <w:sz w:val="10"/>
          <w:szCs w:val="10"/>
        </w:rPr>
      </w:pPr>
    </w:p>
    <w:p w14:paraId="56BE01E3" w14:textId="69BB4004" w:rsidR="00C716F6" w:rsidRPr="00C716F6" w:rsidRDefault="00C716F6" w:rsidP="00030A14">
      <w:pPr>
        <w:pStyle w:val="NurText"/>
        <w:spacing w:line="360" w:lineRule="auto"/>
        <w:ind w:right="1985"/>
        <w:rPr>
          <w:rFonts w:ascii="Calibri" w:hAnsi="Calibri" w:cs="Calibri"/>
          <w:b/>
          <w:bCs/>
          <w:sz w:val="22"/>
          <w:szCs w:val="22"/>
        </w:rPr>
      </w:pPr>
      <w:r w:rsidRPr="00C716F6">
        <w:rPr>
          <w:rFonts w:ascii="Calibri" w:hAnsi="Calibri" w:cs="Calibri"/>
          <w:b/>
          <w:bCs/>
          <w:sz w:val="22"/>
          <w:szCs w:val="22"/>
        </w:rPr>
        <w:t xml:space="preserve">Förderhöhe und Förderbedingungen </w:t>
      </w:r>
    </w:p>
    <w:p w14:paraId="7CF1F7C5" w14:textId="77777777" w:rsidR="00C716F6" w:rsidRPr="009D03DA" w:rsidRDefault="00C716F6" w:rsidP="00030A14">
      <w:pPr>
        <w:pStyle w:val="NurText"/>
        <w:spacing w:line="360" w:lineRule="auto"/>
        <w:ind w:right="1985"/>
        <w:rPr>
          <w:rFonts w:ascii="Calibri" w:hAnsi="Calibri" w:cs="Calibri"/>
          <w:b/>
          <w:bCs/>
          <w:sz w:val="10"/>
          <w:szCs w:val="10"/>
        </w:rPr>
      </w:pPr>
    </w:p>
    <w:p w14:paraId="6E5ED5B0" w14:textId="6B9C7018" w:rsidR="00AB4BA7" w:rsidRDefault="003F32FB" w:rsidP="00030A14">
      <w:pPr>
        <w:pStyle w:val="NurText"/>
        <w:spacing w:line="360" w:lineRule="auto"/>
        <w:ind w:right="1985"/>
        <w:rPr>
          <w:rFonts w:ascii="Calibri" w:hAnsi="Calibri" w:cs="Calibri"/>
          <w:bCs/>
          <w:sz w:val="22"/>
          <w:szCs w:val="22"/>
        </w:rPr>
      </w:pPr>
      <w:r>
        <w:rPr>
          <w:rFonts w:ascii="Calibri" w:hAnsi="Calibri" w:cs="Calibri"/>
          <w:bCs/>
          <w:sz w:val="22"/>
          <w:szCs w:val="22"/>
        </w:rPr>
        <w:t>Bei de</w:t>
      </w:r>
      <w:r w:rsidR="00C96270">
        <w:rPr>
          <w:rFonts w:ascii="Calibri" w:hAnsi="Calibri" w:cs="Calibri"/>
          <w:bCs/>
          <w:sz w:val="22"/>
          <w:szCs w:val="22"/>
        </w:rPr>
        <w:t>n jährlichen Förderbudgets</w:t>
      </w:r>
      <w:r>
        <w:rPr>
          <w:rFonts w:ascii="Calibri" w:hAnsi="Calibri" w:cs="Calibri"/>
          <w:bCs/>
          <w:sz w:val="22"/>
          <w:szCs w:val="22"/>
        </w:rPr>
        <w:t xml:space="preserve"> zeigt sich eine große Bandbreite. </w:t>
      </w:r>
      <w:r w:rsidR="00C96270">
        <w:rPr>
          <w:rFonts w:ascii="Calibri" w:hAnsi="Calibri" w:cs="Calibri"/>
          <w:bCs/>
          <w:sz w:val="22"/>
          <w:szCs w:val="22"/>
        </w:rPr>
        <w:t xml:space="preserve">Die reicht, weil die Kommunen auch unterschiedlich groß sind, von knapp 10.000 Euro bis zu 210.000 Euro. </w:t>
      </w:r>
      <w:r w:rsidR="00452D91">
        <w:rPr>
          <w:rFonts w:ascii="Calibri" w:hAnsi="Calibri" w:cs="Calibri"/>
          <w:bCs/>
          <w:sz w:val="22"/>
          <w:szCs w:val="22"/>
        </w:rPr>
        <w:t xml:space="preserve">Im Fokus stehen vor allem junge Haushalte – sowohl </w:t>
      </w:r>
      <w:r w:rsidR="00957487">
        <w:rPr>
          <w:rFonts w:ascii="Calibri" w:hAnsi="Calibri" w:cs="Calibri"/>
          <w:bCs/>
          <w:sz w:val="22"/>
          <w:szCs w:val="22"/>
        </w:rPr>
        <w:t xml:space="preserve">Alleinerziehende und </w:t>
      </w:r>
      <w:r w:rsidR="00452D91">
        <w:rPr>
          <w:rFonts w:ascii="Calibri" w:hAnsi="Calibri" w:cs="Calibri"/>
          <w:bCs/>
          <w:sz w:val="22"/>
          <w:szCs w:val="22"/>
        </w:rPr>
        <w:t>Paar</w:t>
      </w:r>
      <w:r w:rsidR="00957487">
        <w:rPr>
          <w:rFonts w:ascii="Calibri" w:hAnsi="Calibri" w:cs="Calibri"/>
          <w:bCs/>
          <w:sz w:val="22"/>
          <w:szCs w:val="22"/>
        </w:rPr>
        <w:t>e</w:t>
      </w:r>
      <w:r w:rsidR="00452D91">
        <w:rPr>
          <w:rFonts w:ascii="Calibri" w:hAnsi="Calibri" w:cs="Calibri"/>
          <w:bCs/>
          <w:sz w:val="22"/>
          <w:szCs w:val="22"/>
        </w:rPr>
        <w:t xml:space="preserve"> mit Kindern</w:t>
      </w:r>
      <w:r w:rsidR="0063629B">
        <w:rPr>
          <w:rFonts w:ascii="Calibri" w:hAnsi="Calibri" w:cs="Calibri"/>
          <w:bCs/>
          <w:sz w:val="22"/>
          <w:szCs w:val="22"/>
        </w:rPr>
        <w:t>,</w:t>
      </w:r>
      <w:r w:rsidR="00452D91">
        <w:rPr>
          <w:rFonts w:ascii="Calibri" w:hAnsi="Calibri" w:cs="Calibri"/>
          <w:bCs/>
          <w:sz w:val="22"/>
          <w:szCs w:val="22"/>
        </w:rPr>
        <w:t xml:space="preserve"> als auch Paar</w:t>
      </w:r>
      <w:r w:rsidR="00957487">
        <w:rPr>
          <w:rFonts w:ascii="Calibri" w:hAnsi="Calibri" w:cs="Calibri"/>
          <w:bCs/>
          <w:sz w:val="22"/>
          <w:szCs w:val="22"/>
        </w:rPr>
        <w:t>e</w:t>
      </w:r>
      <w:r w:rsidR="00452D91">
        <w:rPr>
          <w:rFonts w:ascii="Calibri" w:hAnsi="Calibri" w:cs="Calibri"/>
          <w:bCs/>
          <w:sz w:val="22"/>
          <w:szCs w:val="22"/>
        </w:rPr>
        <w:t xml:space="preserve"> ohne Kinder. Mehrheitlich kommen sie aus der jeweiligen Kommune. </w:t>
      </w:r>
      <w:r w:rsidR="00C96270">
        <w:rPr>
          <w:rFonts w:ascii="Calibri" w:hAnsi="Calibri" w:cs="Calibri"/>
          <w:bCs/>
          <w:sz w:val="22"/>
          <w:szCs w:val="22"/>
        </w:rPr>
        <w:t xml:space="preserve">Gefördert wird vor allem der </w:t>
      </w:r>
      <w:r w:rsidR="00452D91">
        <w:rPr>
          <w:rFonts w:ascii="Calibri" w:hAnsi="Calibri" w:cs="Calibri"/>
          <w:bCs/>
          <w:sz w:val="22"/>
          <w:szCs w:val="22"/>
        </w:rPr>
        <w:t xml:space="preserve">Erwerb von </w:t>
      </w:r>
      <w:r w:rsidR="00C96270">
        <w:rPr>
          <w:rFonts w:ascii="Calibri" w:hAnsi="Calibri" w:cs="Calibri"/>
          <w:bCs/>
          <w:sz w:val="22"/>
          <w:szCs w:val="22"/>
        </w:rPr>
        <w:t>Altbau</w:t>
      </w:r>
      <w:r w:rsidR="00452D91">
        <w:rPr>
          <w:rFonts w:ascii="Calibri" w:hAnsi="Calibri" w:cs="Calibri"/>
          <w:bCs/>
          <w:sz w:val="22"/>
          <w:szCs w:val="22"/>
        </w:rPr>
        <w:t xml:space="preserve">ten, die in 80 Prozent der Fälle mindesten 30 Jahre alt sein müssen, in jedem vierten Fall </w:t>
      </w:r>
      <w:r w:rsidR="00C716F6">
        <w:rPr>
          <w:rFonts w:ascii="Calibri" w:hAnsi="Calibri" w:cs="Calibri"/>
          <w:bCs/>
          <w:sz w:val="22"/>
          <w:szCs w:val="22"/>
        </w:rPr>
        <w:t xml:space="preserve">sogar </w:t>
      </w:r>
      <w:r w:rsidR="00452D91">
        <w:rPr>
          <w:rFonts w:ascii="Calibri" w:hAnsi="Calibri" w:cs="Calibri"/>
          <w:bCs/>
          <w:sz w:val="22"/>
          <w:szCs w:val="22"/>
        </w:rPr>
        <w:t xml:space="preserve">mindestens 40 Jahre. </w:t>
      </w:r>
      <w:r w:rsidR="002B3D46">
        <w:rPr>
          <w:rFonts w:ascii="Calibri" w:hAnsi="Calibri" w:cs="Calibri"/>
          <w:bCs/>
          <w:sz w:val="22"/>
          <w:szCs w:val="22"/>
        </w:rPr>
        <w:t xml:space="preserve">Obwohl die Vermeidung von Leerstand ein wichtiges Ziel ist, knüpfen nur wenige der 119 Gemeinden die Förderung an die Bedingung, dass das Gebäude vor dem Erwerb leerstehen muss. </w:t>
      </w:r>
      <w:r w:rsidR="00C96270">
        <w:rPr>
          <w:rFonts w:ascii="Calibri" w:hAnsi="Calibri" w:cs="Calibri"/>
          <w:bCs/>
          <w:sz w:val="22"/>
          <w:szCs w:val="22"/>
        </w:rPr>
        <w:t xml:space="preserve"> </w:t>
      </w:r>
      <w:r w:rsidR="002B3D46">
        <w:rPr>
          <w:rFonts w:ascii="Calibri" w:hAnsi="Calibri" w:cs="Calibri"/>
          <w:bCs/>
          <w:sz w:val="22"/>
          <w:szCs w:val="22"/>
        </w:rPr>
        <w:t xml:space="preserve">Vielfach wird nicht vorausgesetzt, dass das erworbene Haus saniert oder modernisiert wird. Meist geschieht dies trotzdem. Acht von zehn Kommunen fördern auch ein Altbaugutachten, in dem der Modernisierungszustand der Immobilie und erforderliche Maßnahmen dargestellt werden. </w:t>
      </w:r>
    </w:p>
    <w:p w14:paraId="2909800F" w14:textId="6C82892D" w:rsidR="002B3D46" w:rsidRPr="009D03DA" w:rsidRDefault="002B3D46" w:rsidP="00030A14">
      <w:pPr>
        <w:pStyle w:val="NurText"/>
        <w:spacing w:line="360" w:lineRule="auto"/>
        <w:ind w:right="1985"/>
        <w:rPr>
          <w:rFonts w:ascii="Calibri" w:hAnsi="Calibri" w:cs="Calibri"/>
          <w:bCs/>
          <w:sz w:val="10"/>
          <w:szCs w:val="10"/>
        </w:rPr>
      </w:pPr>
    </w:p>
    <w:p w14:paraId="11254B4C" w14:textId="3A6FDF5C" w:rsidR="00DB5F56" w:rsidRDefault="002B3D46" w:rsidP="00DB5F56">
      <w:pPr>
        <w:pStyle w:val="NurText"/>
        <w:spacing w:line="360" w:lineRule="auto"/>
        <w:ind w:right="1985"/>
        <w:rPr>
          <w:rFonts w:ascii="Calibri" w:hAnsi="Calibri" w:cs="Calibri"/>
          <w:bCs/>
          <w:sz w:val="22"/>
          <w:szCs w:val="22"/>
        </w:rPr>
      </w:pPr>
      <w:r>
        <w:rPr>
          <w:rFonts w:ascii="Calibri" w:hAnsi="Calibri" w:cs="Calibri"/>
          <w:bCs/>
          <w:sz w:val="22"/>
          <w:szCs w:val="22"/>
        </w:rPr>
        <w:t xml:space="preserve">In 85 Prozent der Fälle wird der Förderbetrag über mehrere Jahre verteilt ausgezahlt. Altbaugutachten werden einmalig in der Höhe der entstehenden Kosten gefördert. </w:t>
      </w:r>
      <w:r w:rsidR="00DB5F56">
        <w:rPr>
          <w:rFonts w:ascii="Calibri" w:hAnsi="Calibri" w:cs="Calibri"/>
          <w:bCs/>
          <w:sz w:val="22"/>
          <w:szCs w:val="22"/>
        </w:rPr>
        <w:t xml:space="preserve">In fast allen Kommunen gibt es einen Grundbetrag und Kinderzuschüsse. Bei den mehrjährigen Programmen beträgt die Förderung mehrheitlich 600 bis 800 Euro pro Jahr und der Kinderzuschuss 300 bis 400 Euro jährlich. Maximal werden normalerweise zwischen 1.500 und 2.000 Euro pro Jahr ausgezahlt. Die durchschnittliche Fördersumme je Haushalt in den acht vertieften Kommunen reicht von knapp unter 4.000 bis über 5.000 Euro. Damit trägt die Förderung im Schnitt fünf bis sieben Prozent zu den Modernisierungskosten bei. </w:t>
      </w:r>
    </w:p>
    <w:p w14:paraId="70D88E95" w14:textId="3EE2D2E1" w:rsidR="00E16C58" w:rsidRPr="009D03DA" w:rsidRDefault="00E16C58" w:rsidP="00DB5F56">
      <w:pPr>
        <w:pStyle w:val="NurText"/>
        <w:spacing w:line="360" w:lineRule="auto"/>
        <w:ind w:right="1985"/>
        <w:rPr>
          <w:rFonts w:ascii="Calibri" w:hAnsi="Calibri" w:cs="Calibri"/>
          <w:bCs/>
          <w:sz w:val="10"/>
          <w:szCs w:val="10"/>
        </w:rPr>
      </w:pPr>
    </w:p>
    <w:p w14:paraId="4F93D89B" w14:textId="2DF296E3" w:rsidR="00C716F6" w:rsidRPr="00C716F6" w:rsidRDefault="00C716F6" w:rsidP="00DB5F56">
      <w:pPr>
        <w:pStyle w:val="NurText"/>
        <w:spacing w:line="360" w:lineRule="auto"/>
        <w:ind w:right="1985"/>
        <w:rPr>
          <w:rFonts w:ascii="Calibri" w:hAnsi="Calibri" w:cs="Calibri"/>
          <w:b/>
          <w:bCs/>
          <w:sz w:val="22"/>
          <w:szCs w:val="22"/>
        </w:rPr>
      </w:pPr>
      <w:r w:rsidRPr="00C716F6">
        <w:rPr>
          <w:rFonts w:ascii="Calibri" w:hAnsi="Calibri" w:cs="Calibri"/>
          <w:b/>
          <w:bCs/>
          <w:sz w:val="22"/>
          <w:szCs w:val="22"/>
        </w:rPr>
        <w:t xml:space="preserve">Unterstützung durch Städtebauförderung </w:t>
      </w:r>
    </w:p>
    <w:p w14:paraId="00D2B190" w14:textId="77777777" w:rsidR="00C716F6" w:rsidRPr="009D03DA" w:rsidRDefault="00C716F6" w:rsidP="00DB5F56">
      <w:pPr>
        <w:pStyle w:val="NurText"/>
        <w:spacing w:line="360" w:lineRule="auto"/>
        <w:ind w:right="1985"/>
        <w:rPr>
          <w:rFonts w:ascii="Calibri" w:hAnsi="Calibri" w:cs="Calibri"/>
          <w:bCs/>
          <w:sz w:val="10"/>
          <w:szCs w:val="10"/>
        </w:rPr>
      </w:pPr>
    </w:p>
    <w:p w14:paraId="3F77C335" w14:textId="2AE9C269" w:rsidR="00DB5F56" w:rsidRDefault="00DB5F56" w:rsidP="00DB5F56">
      <w:pPr>
        <w:pStyle w:val="NurText"/>
        <w:spacing w:line="360" w:lineRule="auto"/>
        <w:ind w:right="1985"/>
        <w:rPr>
          <w:rFonts w:ascii="Calibri" w:hAnsi="Calibri" w:cs="Calibri"/>
          <w:bCs/>
          <w:sz w:val="22"/>
          <w:szCs w:val="22"/>
        </w:rPr>
      </w:pPr>
      <w:r>
        <w:rPr>
          <w:rFonts w:ascii="Calibri" w:hAnsi="Calibri" w:cs="Calibri"/>
          <w:bCs/>
          <w:sz w:val="22"/>
          <w:szCs w:val="22"/>
        </w:rPr>
        <w:t>„</w:t>
      </w:r>
      <w:r w:rsidR="00E16C58">
        <w:rPr>
          <w:rFonts w:ascii="Calibri" w:hAnsi="Calibri" w:cs="Calibri"/>
          <w:bCs/>
          <w:sz w:val="22"/>
          <w:szCs w:val="22"/>
        </w:rPr>
        <w:t xml:space="preserve">Jung kauft Alt-Modelle“, so der Verbandsvorsitzende Bernd Hertweck, „sollten Schule machen.“ Der ländliche Raum verdiene mehr Aufmerksamkeit. „Wo immer es möglich ist, </w:t>
      </w:r>
      <w:r w:rsidR="00154486">
        <w:rPr>
          <w:rFonts w:ascii="Calibri" w:hAnsi="Calibri" w:cs="Calibri"/>
          <w:bCs/>
          <w:sz w:val="22"/>
          <w:szCs w:val="22"/>
        </w:rPr>
        <w:t xml:space="preserve">ihn zu revitalisieren, sollte die Chance dazu ergriffen werden.“ Hertweck plädiert für eine neue Gemeinschaftsanstrengung. Der Bund könne in diesem Kontext Modellprojekte auflegen und finanzschwache Gemeinden mit Mitteln aus der Städtebauförderung gezielt unterstützen. </w:t>
      </w:r>
      <w:r w:rsidR="00E16C58">
        <w:rPr>
          <w:rFonts w:ascii="Calibri" w:hAnsi="Calibri" w:cs="Calibri"/>
          <w:bCs/>
          <w:sz w:val="22"/>
          <w:szCs w:val="22"/>
        </w:rPr>
        <w:t xml:space="preserve">  </w:t>
      </w:r>
      <w:r>
        <w:rPr>
          <w:rFonts w:ascii="Calibri" w:hAnsi="Calibri" w:cs="Calibri"/>
          <w:bCs/>
          <w:sz w:val="22"/>
          <w:szCs w:val="22"/>
        </w:rPr>
        <w:t xml:space="preserve"> </w:t>
      </w:r>
    </w:p>
    <w:p w14:paraId="64D4080A" w14:textId="505C1D38" w:rsidR="00154486" w:rsidRDefault="00154486" w:rsidP="00DB5F56">
      <w:pPr>
        <w:pStyle w:val="NurText"/>
        <w:spacing w:line="360" w:lineRule="auto"/>
        <w:ind w:right="1985"/>
        <w:rPr>
          <w:rFonts w:ascii="Calibri" w:hAnsi="Calibri" w:cs="Calibri"/>
          <w:bCs/>
          <w:sz w:val="22"/>
          <w:szCs w:val="22"/>
        </w:rPr>
      </w:pPr>
    </w:p>
    <w:p w14:paraId="78D9C77B" w14:textId="310A6E34" w:rsidR="00154486" w:rsidRDefault="00154486" w:rsidP="00DB5F56">
      <w:pPr>
        <w:pStyle w:val="NurText"/>
        <w:spacing w:line="360" w:lineRule="auto"/>
        <w:ind w:right="1985"/>
        <w:rPr>
          <w:rFonts w:ascii="Calibri" w:hAnsi="Calibri" w:cs="Calibri"/>
          <w:bCs/>
          <w:sz w:val="22"/>
          <w:szCs w:val="22"/>
        </w:rPr>
      </w:pPr>
      <w:r>
        <w:rPr>
          <w:rFonts w:ascii="Calibri" w:hAnsi="Calibri" w:cs="Calibri"/>
          <w:bCs/>
          <w:sz w:val="22"/>
          <w:szCs w:val="22"/>
        </w:rPr>
        <w:t>Laut empirica-Institut ergibt eine Revitalisierung von aktuell oder drohenden Leerständen dort Sinn, wo Bedarf bzw. Nachfrage nach Wohnraum vorhanden ist. „Kleingemeinden, die trotz überdurchschnittlicher Leerstände einen hohen N</w:t>
      </w:r>
      <w:r w:rsidR="007D6950">
        <w:rPr>
          <w:rFonts w:ascii="Calibri" w:hAnsi="Calibri" w:cs="Calibri"/>
          <w:bCs/>
          <w:sz w:val="22"/>
          <w:szCs w:val="22"/>
        </w:rPr>
        <w:t>e</w:t>
      </w:r>
      <w:r>
        <w:rPr>
          <w:rFonts w:ascii="Calibri" w:hAnsi="Calibri" w:cs="Calibri"/>
          <w:bCs/>
          <w:sz w:val="22"/>
          <w:szCs w:val="22"/>
        </w:rPr>
        <w:t xml:space="preserve">ubauanteil ausweisen, </w:t>
      </w:r>
      <w:r w:rsidR="007D6950">
        <w:rPr>
          <w:rFonts w:ascii="Calibri" w:hAnsi="Calibri" w:cs="Calibri"/>
          <w:bCs/>
          <w:sz w:val="22"/>
          <w:szCs w:val="22"/>
        </w:rPr>
        <w:t xml:space="preserve">haben ein hohes Revitalisierungspotenzial“, erklärte Institutsleiter Braun. Eine Top 11-Liste mit Gemeinden aus den vier Bundesländern Schleswig-Holstein, Bayern, Rheinland-Pfalz und Mecklenburg-Vorpommern findet sich in der Untersuchung. Diese kann unter </w:t>
      </w:r>
      <w:hyperlink r:id="rId10" w:history="1">
        <w:r w:rsidR="002865AE" w:rsidRPr="002865AE">
          <w:rPr>
            <w:rStyle w:val="Hyperlink"/>
            <w:rFonts w:ascii="Calibri" w:hAnsi="Calibri" w:cs="Calibri"/>
            <w:bCs/>
            <w:sz w:val="22"/>
            <w:szCs w:val="22"/>
          </w:rPr>
          <w:t>www.bausparkassen.de/daten-fakten/studien</w:t>
        </w:r>
      </w:hyperlink>
      <w:r w:rsidR="002865AE">
        <w:rPr>
          <w:rFonts w:ascii="Calibri" w:hAnsi="Calibri" w:cs="Calibri"/>
          <w:bCs/>
          <w:sz w:val="22"/>
          <w:szCs w:val="22"/>
        </w:rPr>
        <w:t xml:space="preserve"> </w:t>
      </w:r>
      <w:r w:rsidR="007D6950">
        <w:rPr>
          <w:rFonts w:ascii="Calibri" w:hAnsi="Calibri" w:cs="Calibri"/>
          <w:bCs/>
          <w:sz w:val="22"/>
          <w:szCs w:val="22"/>
        </w:rPr>
        <w:t xml:space="preserve">heruntergeladen werden. </w:t>
      </w:r>
    </w:p>
    <w:p w14:paraId="007BCF42" w14:textId="068B01DF" w:rsidR="00030A14" w:rsidRPr="000131FD" w:rsidRDefault="009824FE" w:rsidP="0063629B">
      <w:pPr>
        <w:pStyle w:val="NurText"/>
        <w:spacing w:line="360" w:lineRule="auto"/>
        <w:ind w:right="1985"/>
        <w:rPr>
          <w:rFonts w:ascii="Calibri" w:hAnsi="Calibri" w:cs="Calibri"/>
          <w:bCs/>
          <w:sz w:val="18"/>
          <w:szCs w:val="18"/>
        </w:rPr>
      </w:pPr>
      <w:r>
        <w:rPr>
          <w:noProof/>
        </w:rPr>
        <w:drawing>
          <wp:inline distT="0" distB="0" distL="0" distR="0" wp14:anchorId="188BB657" wp14:editId="3C4DC3DD">
            <wp:extent cx="4197350" cy="5934743"/>
            <wp:effectExtent l="0" t="0" r="0" b="8890"/>
            <wp:docPr id="3" name="Grafik 3"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art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0139" cy="5952826"/>
                    </a:xfrm>
                    <a:prstGeom prst="rect">
                      <a:avLst/>
                    </a:prstGeom>
                    <a:noFill/>
                    <a:ln>
                      <a:noFill/>
                    </a:ln>
                  </pic:spPr>
                </pic:pic>
              </a:graphicData>
            </a:graphic>
          </wp:inline>
        </w:drawing>
      </w:r>
    </w:p>
    <w:sectPr w:rsidR="00030A14" w:rsidRPr="000131FD" w:rsidSect="000131FD">
      <w:headerReference w:type="default" r:id="rId12"/>
      <w:headerReference w:type="first" r:id="rId13"/>
      <w:footnotePr>
        <w:numFmt w:val="chicago"/>
      </w:footnotePr>
      <w:pgSz w:w="11906" w:h="16838" w:code="9"/>
      <w:pgMar w:top="1701" w:right="851"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E6DB" w14:textId="77777777" w:rsidR="009D1E85" w:rsidRDefault="009D1E85">
      <w:r>
        <w:separator/>
      </w:r>
    </w:p>
  </w:endnote>
  <w:endnote w:type="continuationSeparator" w:id="0">
    <w:p w14:paraId="637F97B0" w14:textId="77777777" w:rsidR="009D1E85" w:rsidRDefault="009D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D65A" w14:textId="77777777" w:rsidR="009D1E85" w:rsidRDefault="009D1E85">
      <w:r>
        <w:separator/>
      </w:r>
    </w:p>
  </w:footnote>
  <w:footnote w:type="continuationSeparator" w:id="0">
    <w:p w14:paraId="7290F0A4" w14:textId="77777777" w:rsidR="009D1E85" w:rsidRDefault="009D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6D7E" w14:textId="77777777" w:rsidR="009B5166" w:rsidRPr="006353E1" w:rsidRDefault="009B5166">
    <w:pPr>
      <w:pStyle w:val="Kopfzeile"/>
      <w:tabs>
        <w:tab w:val="clear" w:pos="4536"/>
        <w:tab w:val="center" w:pos="3969"/>
      </w:tabs>
      <w:jc w:val="left"/>
      <w:rPr>
        <w:rFonts w:ascii="Calibri" w:hAnsi="Calibri" w:cs="Calibri"/>
        <w:sz w:val="22"/>
        <w:szCs w:val="22"/>
      </w:rPr>
    </w:pPr>
    <w:r>
      <w:tab/>
    </w:r>
    <w:r w:rsidRPr="006353E1">
      <w:rPr>
        <w:rStyle w:val="Seitenzahl"/>
        <w:rFonts w:ascii="Calibri" w:hAnsi="Calibri" w:cs="Calibri"/>
        <w:sz w:val="22"/>
        <w:szCs w:val="22"/>
      </w:rPr>
      <w:fldChar w:fldCharType="begin"/>
    </w:r>
    <w:r w:rsidRPr="006353E1">
      <w:rPr>
        <w:rStyle w:val="Seitenzahl"/>
        <w:rFonts w:ascii="Calibri" w:hAnsi="Calibri" w:cs="Calibri"/>
        <w:sz w:val="22"/>
        <w:szCs w:val="22"/>
      </w:rPr>
      <w:instrText xml:space="preserve"> PAGE </w:instrText>
    </w:r>
    <w:r w:rsidRPr="006353E1">
      <w:rPr>
        <w:rStyle w:val="Seitenzahl"/>
        <w:rFonts w:ascii="Calibri" w:hAnsi="Calibri" w:cs="Calibri"/>
        <w:sz w:val="22"/>
        <w:szCs w:val="22"/>
      </w:rPr>
      <w:fldChar w:fldCharType="separate"/>
    </w:r>
    <w:r w:rsidR="0063629B">
      <w:rPr>
        <w:rStyle w:val="Seitenzahl"/>
        <w:rFonts w:ascii="Calibri" w:hAnsi="Calibri" w:cs="Calibri"/>
        <w:noProof/>
        <w:sz w:val="22"/>
        <w:szCs w:val="22"/>
      </w:rPr>
      <w:t>3</w:t>
    </w:r>
    <w:r w:rsidRPr="006353E1">
      <w:rPr>
        <w:rStyle w:val="Seitenzahl"/>
        <w:rFonts w:ascii="Calibri" w:hAnsi="Calibri" w:cs="Calibr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17CB" w14:textId="77777777" w:rsidR="00C15A92" w:rsidRPr="006353E1" w:rsidRDefault="00C15A92">
    <w:pPr>
      <w:pStyle w:val="Kopfzeile"/>
      <w:jc w:val="center"/>
      <w:rPr>
        <w:rFonts w:ascii="Calibri" w:hAnsi="Calibri" w:cs="Calibri"/>
        <w:sz w:val="22"/>
        <w:szCs w:val="22"/>
      </w:rPr>
    </w:pPr>
  </w:p>
  <w:p w14:paraId="2B889CFD" w14:textId="77777777" w:rsidR="00C15A92" w:rsidRDefault="00C15A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39D"/>
    <w:multiLevelType w:val="singleLevel"/>
    <w:tmpl w:val="987A05B8"/>
    <w:lvl w:ilvl="0">
      <w:start w:val="1"/>
      <w:numFmt w:val="bullet"/>
      <w:lvlText w:val="─"/>
      <w:lvlJc w:val="left"/>
      <w:pPr>
        <w:tabs>
          <w:tab w:val="num" w:pos="360"/>
        </w:tabs>
        <w:ind w:left="360" w:hanging="360"/>
      </w:pPr>
      <w:rPr>
        <w:rFonts w:ascii="Times New Roman" w:hAnsi="Times New Roman" w:hint="default"/>
        <w:sz w:val="16"/>
      </w:rPr>
    </w:lvl>
  </w:abstractNum>
  <w:abstractNum w:abstractNumId="1" w15:restartNumberingAfterBreak="0">
    <w:nsid w:val="2F267E1B"/>
    <w:multiLevelType w:val="singleLevel"/>
    <w:tmpl w:val="B1A6BB28"/>
    <w:lvl w:ilvl="0">
      <w:start w:val="3"/>
      <w:numFmt w:val="decimal"/>
      <w:lvlText w:val="%1."/>
      <w:lvlJc w:val="left"/>
      <w:pPr>
        <w:tabs>
          <w:tab w:val="num" w:pos="360"/>
        </w:tabs>
        <w:ind w:left="360" w:hanging="360"/>
      </w:pPr>
    </w:lvl>
  </w:abstractNum>
  <w:abstractNum w:abstractNumId="2" w15:restartNumberingAfterBreak="0">
    <w:nsid w:val="4C495B31"/>
    <w:multiLevelType w:val="singleLevel"/>
    <w:tmpl w:val="5DEA4A2E"/>
    <w:lvl w:ilvl="0">
      <w:numFmt w:val="bullet"/>
      <w:lvlText w:val="-"/>
      <w:lvlJc w:val="left"/>
      <w:pPr>
        <w:tabs>
          <w:tab w:val="num" w:pos="360"/>
        </w:tabs>
        <w:ind w:left="360" w:hanging="360"/>
      </w:pPr>
      <w:rPr>
        <w:rFonts w:hint="default"/>
      </w:rPr>
    </w:lvl>
  </w:abstractNum>
  <w:abstractNum w:abstractNumId="3" w15:restartNumberingAfterBreak="0">
    <w:nsid w:val="690943E5"/>
    <w:multiLevelType w:val="singleLevel"/>
    <w:tmpl w:val="0407000F"/>
    <w:lvl w:ilvl="0">
      <w:start w:val="1"/>
      <w:numFmt w:val="decimal"/>
      <w:lvlText w:val="%1."/>
      <w:lvlJc w:val="left"/>
      <w:pPr>
        <w:tabs>
          <w:tab w:val="num" w:pos="360"/>
        </w:tabs>
        <w:ind w:left="36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24"/>
    <w:rsid w:val="00002DA4"/>
    <w:rsid w:val="000131FD"/>
    <w:rsid w:val="00030A14"/>
    <w:rsid w:val="00040924"/>
    <w:rsid w:val="0004206D"/>
    <w:rsid w:val="00045380"/>
    <w:rsid w:val="0005431F"/>
    <w:rsid w:val="0005747E"/>
    <w:rsid w:val="0008710A"/>
    <w:rsid w:val="000E75A0"/>
    <w:rsid w:val="00113EB4"/>
    <w:rsid w:val="00147AEA"/>
    <w:rsid w:val="00154486"/>
    <w:rsid w:val="001D6891"/>
    <w:rsid w:val="001F4B36"/>
    <w:rsid w:val="00235278"/>
    <w:rsid w:val="002865AE"/>
    <w:rsid w:val="00287DD4"/>
    <w:rsid w:val="002916AC"/>
    <w:rsid w:val="0029780C"/>
    <w:rsid w:val="002B3D46"/>
    <w:rsid w:val="002D5011"/>
    <w:rsid w:val="00300C05"/>
    <w:rsid w:val="003215DC"/>
    <w:rsid w:val="00333AB8"/>
    <w:rsid w:val="00387087"/>
    <w:rsid w:val="00390318"/>
    <w:rsid w:val="003A4928"/>
    <w:rsid w:val="003F2AFD"/>
    <w:rsid w:val="003F32FB"/>
    <w:rsid w:val="00404133"/>
    <w:rsid w:val="00452D91"/>
    <w:rsid w:val="00473203"/>
    <w:rsid w:val="004A2315"/>
    <w:rsid w:val="004B50A6"/>
    <w:rsid w:val="004C48FF"/>
    <w:rsid w:val="004C5056"/>
    <w:rsid w:val="004E1AEF"/>
    <w:rsid w:val="004F33DF"/>
    <w:rsid w:val="00527CFA"/>
    <w:rsid w:val="005356F1"/>
    <w:rsid w:val="00552505"/>
    <w:rsid w:val="005A3815"/>
    <w:rsid w:val="005C2642"/>
    <w:rsid w:val="005D5B3D"/>
    <w:rsid w:val="005E36FC"/>
    <w:rsid w:val="005F6FD6"/>
    <w:rsid w:val="006170DF"/>
    <w:rsid w:val="006179C8"/>
    <w:rsid w:val="006353E1"/>
    <w:rsid w:val="0063629B"/>
    <w:rsid w:val="0064279A"/>
    <w:rsid w:val="00687C77"/>
    <w:rsid w:val="00693413"/>
    <w:rsid w:val="006B3261"/>
    <w:rsid w:val="006C2DAB"/>
    <w:rsid w:val="007136F1"/>
    <w:rsid w:val="00720D81"/>
    <w:rsid w:val="0075165C"/>
    <w:rsid w:val="007B70A1"/>
    <w:rsid w:val="007C7F0C"/>
    <w:rsid w:val="007C7F6C"/>
    <w:rsid w:val="007D6950"/>
    <w:rsid w:val="007E0D27"/>
    <w:rsid w:val="007F4094"/>
    <w:rsid w:val="0084404D"/>
    <w:rsid w:val="00844180"/>
    <w:rsid w:val="00862E2F"/>
    <w:rsid w:val="0093267B"/>
    <w:rsid w:val="00936139"/>
    <w:rsid w:val="00942D54"/>
    <w:rsid w:val="009506D6"/>
    <w:rsid w:val="00957487"/>
    <w:rsid w:val="009749AC"/>
    <w:rsid w:val="009824FE"/>
    <w:rsid w:val="00990052"/>
    <w:rsid w:val="00993CB8"/>
    <w:rsid w:val="009B5166"/>
    <w:rsid w:val="009C609D"/>
    <w:rsid w:val="009D03DA"/>
    <w:rsid w:val="009D1E85"/>
    <w:rsid w:val="009F6B1D"/>
    <w:rsid w:val="00AB4BA7"/>
    <w:rsid w:val="00AD0416"/>
    <w:rsid w:val="00B3360E"/>
    <w:rsid w:val="00BB15D4"/>
    <w:rsid w:val="00BC3F28"/>
    <w:rsid w:val="00BF1CFA"/>
    <w:rsid w:val="00C0132E"/>
    <w:rsid w:val="00C15A92"/>
    <w:rsid w:val="00C44EB8"/>
    <w:rsid w:val="00C716F6"/>
    <w:rsid w:val="00C810AA"/>
    <w:rsid w:val="00C96270"/>
    <w:rsid w:val="00CA7A19"/>
    <w:rsid w:val="00CB23EB"/>
    <w:rsid w:val="00CC6F55"/>
    <w:rsid w:val="00CD5706"/>
    <w:rsid w:val="00D037A3"/>
    <w:rsid w:val="00D53F68"/>
    <w:rsid w:val="00D67A5C"/>
    <w:rsid w:val="00D95407"/>
    <w:rsid w:val="00DB5F56"/>
    <w:rsid w:val="00DD5521"/>
    <w:rsid w:val="00E039AA"/>
    <w:rsid w:val="00E16C58"/>
    <w:rsid w:val="00E65F0A"/>
    <w:rsid w:val="00EA7EEE"/>
    <w:rsid w:val="00EB5041"/>
    <w:rsid w:val="00ED143E"/>
    <w:rsid w:val="00EE0498"/>
    <w:rsid w:val="00F33D6C"/>
    <w:rsid w:val="00F6158A"/>
    <w:rsid w:val="00F662BA"/>
    <w:rsid w:val="00F74A35"/>
    <w:rsid w:val="00FE0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AE8F7B"/>
  <w15:docId w15:val="{2638CE8D-1E55-4DFF-B25B-3E431D53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bsatz">
    <w:name w:val="Absatz"/>
    <w:basedOn w:val="Standard"/>
    <w:pPr>
      <w:spacing w:before="120" w:after="120"/>
    </w:pPr>
    <w:rPr>
      <w:sz w:val="22"/>
    </w:rPr>
  </w:style>
  <w:style w:type="paragraph" w:styleId="NurText">
    <w:name w:val="Plain Text"/>
    <w:basedOn w:val="Standard"/>
    <w:pPr>
      <w:jc w:val="left"/>
    </w:pPr>
    <w:rPr>
      <w:rFonts w:ascii="Courier New" w:hAnsi="Courier New"/>
      <w:sz w:val="20"/>
    </w:rPr>
  </w:style>
  <w:style w:type="paragraph" w:styleId="Textkrper">
    <w:name w:val="Body Text"/>
    <w:basedOn w:val="Standard"/>
    <w:pPr>
      <w:spacing w:line="360" w:lineRule="auto"/>
      <w:ind w:right="1673"/>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ind w:right="1699"/>
    </w:pPr>
  </w:style>
  <w:style w:type="paragraph" w:styleId="Sprechblasentext">
    <w:name w:val="Balloon Text"/>
    <w:basedOn w:val="Standard"/>
    <w:semiHidden/>
    <w:rsid w:val="00287DD4"/>
    <w:rPr>
      <w:rFonts w:ascii="Tahoma" w:hAnsi="Tahoma" w:cs="Tahoma"/>
      <w:sz w:val="16"/>
      <w:szCs w:val="16"/>
    </w:rPr>
  </w:style>
  <w:style w:type="character" w:customStyle="1" w:styleId="KopfzeileZchn">
    <w:name w:val="Kopfzeile Zchn"/>
    <w:link w:val="Kopfzeile"/>
    <w:uiPriority w:val="99"/>
    <w:rsid w:val="00C15A92"/>
    <w:rPr>
      <w:sz w:val="24"/>
    </w:rPr>
  </w:style>
  <w:style w:type="character" w:customStyle="1" w:styleId="NichtaufgelsteErwhnung1">
    <w:name w:val="Nicht aufgelöste Erwähnung1"/>
    <w:basedOn w:val="Absatz-Standardschriftart"/>
    <w:uiPriority w:val="99"/>
    <w:semiHidden/>
    <w:unhideWhenUsed/>
    <w:rsid w:val="00040924"/>
    <w:rPr>
      <w:color w:val="605E5C"/>
      <w:shd w:val="clear" w:color="auto" w:fill="E1DFDD"/>
    </w:rPr>
  </w:style>
  <w:style w:type="paragraph" w:styleId="Funotentext">
    <w:name w:val="footnote text"/>
    <w:basedOn w:val="Standard"/>
    <w:link w:val="FunotentextZchn"/>
    <w:semiHidden/>
    <w:unhideWhenUsed/>
    <w:rsid w:val="0005747E"/>
    <w:rPr>
      <w:sz w:val="20"/>
    </w:rPr>
  </w:style>
  <w:style w:type="character" w:customStyle="1" w:styleId="FunotentextZchn">
    <w:name w:val="Fußnotentext Zchn"/>
    <w:basedOn w:val="Absatz-Standardschriftart"/>
    <w:link w:val="Funotentext"/>
    <w:semiHidden/>
    <w:rsid w:val="0005747E"/>
  </w:style>
  <w:style w:type="character" w:styleId="Funotenzeichen">
    <w:name w:val="footnote reference"/>
    <w:basedOn w:val="Absatz-Standardschriftart"/>
    <w:semiHidden/>
    <w:unhideWhenUsed/>
    <w:rsid w:val="0005747E"/>
    <w:rPr>
      <w:vertAlign w:val="superscript"/>
    </w:rPr>
  </w:style>
  <w:style w:type="paragraph" w:styleId="StandardWeb">
    <w:name w:val="Normal (Web)"/>
    <w:basedOn w:val="Standard"/>
    <w:uiPriority w:val="99"/>
    <w:semiHidden/>
    <w:unhideWhenUsed/>
    <w:rsid w:val="007B70A1"/>
    <w:pPr>
      <w:spacing w:before="100" w:beforeAutospacing="1" w:after="100" w:afterAutospacing="1"/>
      <w:jc w:val="left"/>
    </w:pPr>
    <w:rPr>
      <w:szCs w:val="24"/>
    </w:rPr>
  </w:style>
  <w:style w:type="character" w:customStyle="1" w:styleId="NichtaufgelsteErwhnung2">
    <w:name w:val="Nicht aufgelöste Erwähnung2"/>
    <w:basedOn w:val="Absatz-Standardschriftart"/>
    <w:uiPriority w:val="99"/>
    <w:semiHidden/>
    <w:unhideWhenUsed/>
    <w:rsid w:val="007D6950"/>
    <w:rPr>
      <w:color w:val="605E5C"/>
      <w:shd w:val="clear" w:color="auto" w:fill="E1DFDD"/>
    </w:rPr>
  </w:style>
  <w:style w:type="paragraph" w:styleId="berarbeitung">
    <w:name w:val="Revision"/>
    <w:hidden/>
    <w:uiPriority w:val="99"/>
    <w:semiHidden/>
    <w:rsid w:val="00957487"/>
    <w:rPr>
      <w:sz w:val="24"/>
    </w:rPr>
  </w:style>
  <w:style w:type="character" w:styleId="NichtaufgelsteErwhnung">
    <w:name w:val="Unresolved Mention"/>
    <w:basedOn w:val="Absatz-Standardschriftart"/>
    <w:uiPriority w:val="99"/>
    <w:semiHidden/>
    <w:unhideWhenUsed/>
    <w:rsid w:val="002865AE"/>
    <w:rPr>
      <w:color w:val="605E5C"/>
      <w:shd w:val="clear" w:color="auto" w:fill="E1DFDD"/>
    </w:rPr>
  </w:style>
  <w:style w:type="character" w:styleId="BesuchterLink">
    <w:name w:val="FollowedHyperlink"/>
    <w:basedOn w:val="Absatz-Standardschriftart"/>
    <w:semiHidden/>
    <w:unhideWhenUsed/>
    <w:rsid w:val="00286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usparkassen.de/daten-fakten/studien/" TargetMode="External"/><Relationship Id="rId4" Type="http://schemas.openxmlformats.org/officeDocument/2006/relationships/settings" Target="settings.xml"/><Relationship Id="rId9" Type="http://schemas.openxmlformats.org/officeDocument/2006/relationships/hyperlink" Target="http://www.bausparkassen.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876EA-647A-4272-AEB4-88B806E4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4406</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VDPB</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 Claudia</dc:creator>
  <cp:lastModifiedBy>Reiner Braun - empirica</cp:lastModifiedBy>
  <cp:revision>2</cp:revision>
  <cp:lastPrinted>2021-11-08T10:26:00Z</cp:lastPrinted>
  <dcterms:created xsi:type="dcterms:W3CDTF">2022-01-31T17:11:00Z</dcterms:created>
  <dcterms:modified xsi:type="dcterms:W3CDTF">2022-01-31T17:11:00Z</dcterms:modified>
</cp:coreProperties>
</file>