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3"/>
        <w:gridCol w:w="2268"/>
        <w:gridCol w:w="850"/>
        <w:gridCol w:w="2268"/>
      </w:tblGrid>
      <w:tr w:rsidR="009B5166" w:rsidTr="006B3261">
        <w:tc>
          <w:tcPr>
            <w:tcW w:w="4323" w:type="dxa"/>
          </w:tcPr>
          <w:p w:rsidR="009B5166" w:rsidRPr="00E039AA" w:rsidRDefault="009B5166" w:rsidP="00E039AA">
            <w:pPr>
              <w:rPr>
                <w:rFonts w:asciiTheme="minorHAnsi" w:hAnsiTheme="minorHAnsi" w:cstheme="minorHAnsi"/>
                <w:sz w:val="22"/>
                <w:szCs w:val="22"/>
              </w:rPr>
            </w:pPr>
            <w:bookmarkStart w:id="0" w:name="_GoBack"/>
            <w:bookmarkEnd w:id="0"/>
          </w:p>
        </w:tc>
        <w:tc>
          <w:tcPr>
            <w:tcW w:w="2268" w:type="dxa"/>
          </w:tcPr>
          <w:p w:rsidR="009B5166" w:rsidRPr="006B3261" w:rsidRDefault="009B5166">
            <w:pPr>
              <w:rPr>
                <w:rFonts w:ascii="Arial" w:hAnsi="Arial"/>
                <w:color w:val="0070C0"/>
              </w:rPr>
            </w:pPr>
          </w:p>
        </w:tc>
        <w:tc>
          <w:tcPr>
            <w:tcW w:w="3118" w:type="dxa"/>
            <w:gridSpan w:val="2"/>
          </w:tcPr>
          <w:p w:rsidR="009B5166" w:rsidRPr="006B3261" w:rsidRDefault="003215DC">
            <w:pPr>
              <w:jc w:val="left"/>
              <w:rPr>
                <w:rFonts w:ascii="Arial" w:hAnsi="Arial"/>
                <w:b/>
                <w:color w:val="0070C0"/>
                <w:sz w:val="20"/>
              </w:rPr>
            </w:pPr>
            <w:r>
              <w:rPr>
                <w:rFonts w:ascii="Arial" w:hAnsi="Arial"/>
                <w:noProof/>
                <w:color w:val="0070C0"/>
              </w:rPr>
              <w:drawing>
                <wp:inline distT="0" distB="0" distL="0" distR="0">
                  <wp:extent cx="1808480" cy="416560"/>
                  <wp:effectExtent l="0" t="0" r="1270" b="2540"/>
                  <wp:docPr id="1" name="Bild 1" descr="Logo_VdPB_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dPB_indizie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480" cy="416560"/>
                          </a:xfrm>
                          <a:prstGeom prst="rect">
                            <a:avLst/>
                          </a:prstGeom>
                          <a:noFill/>
                          <a:ln>
                            <a:noFill/>
                          </a:ln>
                        </pic:spPr>
                      </pic:pic>
                    </a:graphicData>
                  </a:graphic>
                </wp:inline>
              </w:drawing>
            </w:r>
          </w:p>
        </w:tc>
      </w:tr>
      <w:tr w:rsidR="009B5166" w:rsidTr="00002DA4">
        <w:tc>
          <w:tcPr>
            <w:tcW w:w="4323" w:type="dxa"/>
          </w:tcPr>
          <w:p w:rsidR="009B5166" w:rsidRPr="00E039AA" w:rsidRDefault="009B5166">
            <w:pPr>
              <w:rPr>
                <w:rFonts w:asciiTheme="minorHAnsi" w:hAnsiTheme="minorHAnsi" w:cstheme="minorHAnsi"/>
                <w:color w:val="0070C0"/>
              </w:rPr>
            </w:pPr>
          </w:p>
        </w:tc>
        <w:tc>
          <w:tcPr>
            <w:tcW w:w="3118" w:type="dxa"/>
            <w:gridSpan w:val="2"/>
          </w:tcPr>
          <w:p w:rsidR="009B5166" w:rsidRPr="00E039AA" w:rsidRDefault="009B5166">
            <w:pPr>
              <w:rPr>
                <w:rFonts w:asciiTheme="minorHAnsi" w:hAnsiTheme="minorHAnsi" w:cstheme="minorHAnsi"/>
                <w:color w:val="0070C0"/>
              </w:rPr>
            </w:pPr>
          </w:p>
        </w:tc>
        <w:tc>
          <w:tcPr>
            <w:tcW w:w="2268" w:type="dxa"/>
          </w:tcPr>
          <w:p w:rsidR="009B5166" w:rsidRPr="00E039AA" w:rsidRDefault="00BB15D4">
            <w:pPr>
              <w:rPr>
                <w:rFonts w:asciiTheme="minorHAnsi" w:hAnsiTheme="minorHAnsi" w:cstheme="minorHAnsi"/>
                <w:color w:val="0070C0"/>
                <w:sz w:val="18"/>
                <w:szCs w:val="18"/>
              </w:rPr>
            </w:pPr>
            <w:r w:rsidRPr="00E039AA">
              <w:rPr>
                <w:rFonts w:asciiTheme="minorHAnsi" w:hAnsiTheme="minorHAnsi" w:cstheme="minorHAnsi"/>
                <w:color w:val="0070C0"/>
                <w:sz w:val="18"/>
                <w:szCs w:val="18"/>
              </w:rPr>
              <w:br/>
            </w:r>
            <w:r w:rsidR="009B5166" w:rsidRPr="00E039AA">
              <w:rPr>
                <w:rFonts w:asciiTheme="minorHAnsi" w:hAnsiTheme="minorHAnsi" w:cstheme="minorHAnsi"/>
                <w:color w:val="0070C0"/>
                <w:sz w:val="18"/>
                <w:szCs w:val="18"/>
              </w:rPr>
              <w:t>Klingelhöferstraße 4</w:t>
            </w:r>
          </w:p>
          <w:p w:rsidR="009B5166" w:rsidRPr="00E039AA" w:rsidRDefault="009B5166">
            <w:pPr>
              <w:rPr>
                <w:rFonts w:asciiTheme="minorHAnsi" w:hAnsiTheme="minorHAnsi" w:cstheme="minorHAnsi"/>
                <w:color w:val="0070C0"/>
                <w:sz w:val="18"/>
                <w:szCs w:val="18"/>
              </w:rPr>
            </w:pPr>
            <w:r w:rsidRPr="00E039AA">
              <w:rPr>
                <w:rFonts w:asciiTheme="minorHAnsi" w:hAnsiTheme="minorHAnsi" w:cstheme="minorHAnsi"/>
                <w:color w:val="0070C0"/>
                <w:sz w:val="18"/>
                <w:szCs w:val="18"/>
              </w:rPr>
              <w:t>10785 Berlin</w:t>
            </w:r>
          </w:p>
          <w:p w:rsidR="009B5166" w:rsidRPr="00E039AA" w:rsidRDefault="009B5166">
            <w:pPr>
              <w:rPr>
                <w:rFonts w:asciiTheme="minorHAnsi" w:hAnsiTheme="minorHAnsi" w:cstheme="minorHAnsi"/>
                <w:color w:val="0070C0"/>
                <w:sz w:val="18"/>
                <w:szCs w:val="18"/>
              </w:rPr>
            </w:pPr>
          </w:p>
        </w:tc>
      </w:tr>
      <w:tr w:rsidR="006B3261" w:rsidTr="00002DA4">
        <w:tc>
          <w:tcPr>
            <w:tcW w:w="4323" w:type="dxa"/>
          </w:tcPr>
          <w:p w:rsidR="006B3261" w:rsidRPr="00E039AA" w:rsidRDefault="006B3261">
            <w:pPr>
              <w:rPr>
                <w:rFonts w:asciiTheme="minorHAnsi" w:hAnsiTheme="minorHAnsi" w:cstheme="minorHAnsi"/>
                <w:color w:val="0070C0"/>
              </w:rPr>
            </w:pPr>
            <w:r w:rsidRPr="00E039AA">
              <w:rPr>
                <w:rFonts w:asciiTheme="minorHAnsi" w:hAnsiTheme="minorHAnsi" w:cstheme="minorHAnsi"/>
                <w:color w:val="0070C0"/>
              </w:rPr>
              <w:t>Pressemeldung</w:t>
            </w:r>
          </w:p>
        </w:tc>
        <w:tc>
          <w:tcPr>
            <w:tcW w:w="3118" w:type="dxa"/>
            <w:gridSpan w:val="2"/>
          </w:tcPr>
          <w:p w:rsidR="006B3261" w:rsidRPr="00E039AA" w:rsidRDefault="006B3261">
            <w:pPr>
              <w:rPr>
                <w:rFonts w:asciiTheme="minorHAnsi" w:hAnsiTheme="minorHAnsi" w:cstheme="minorHAnsi"/>
                <w:color w:val="0070C0"/>
              </w:rPr>
            </w:pPr>
            <w:r w:rsidRPr="00E039AA">
              <w:rPr>
                <w:rFonts w:asciiTheme="minorHAnsi" w:hAnsiTheme="minorHAnsi" w:cstheme="minorHAnsi"/>
                <w:color w:val="0070C0"/>
              </w:rPr>
              <w:t xml:space="preserve">Berlin, </w:t>
            </w:r>
            <w:r w:rsidR="007F1DDD">
              <w:rPr>
                <w:rFonts w:asciiTheme="minorHAnsi" w:hAnsiTheme="minorHAnsi" w:cstheme="minorHAnsi"/>
                <w:color w:val="0070C0"/>
              </w:rPr>
              <w:t>5</w:t>
            </w:r>
            <w:r w:rsidR="001066CC">
              <w:rPr>
                <w:rFonts w:asciiTheme="minorHAnsi" w:hAnsiTheme="minorHAnsi" w:cstheme="minorHAnsi"/>
                <w:color w:val="0070C0"/>
              </w:rPr>
              <w:t xml:space="preserve">. </w:t>
            </w:r>
            <w:r w:rsidR="007F1DDD">
              <w:rPr>
                <w:rFonts w:asciiTheme="minorHAnsi" w:hAnsiTheme="minorHAnsi" w:cstheme="minorHAnsi"/>
                <w:color w:val="0070C0"/>
              </w:rPr>
              <w:t>Dezember</w:t>
            </w:r>
            <w:r w:rsidR="001066CC">
              <w:rPr>
                <w:rFonts w:asciiTheme="minorHAnsi" w:hAnsiTheme="minorHAnsi" w:cstheme="minorHAnsi"/>
                <w:color w:val="0070C0"/>
              </w:rPr>
              <w:t xml:space="preserve"> 2018</w:t>
            </w:r>
          </w:p>
        </w:tc>
        <w:tc>
          <w:tcPr>
            <w:tcW w:w="2268" w:type="dxa"/>
          </w:tcPr>
          <w:p w:rsidR="006B3261" w:rsidRPr="00E039AA" w:rsidRDefault="006B3261" w:rsidP="00300C05">
            <w:pPr>
              <w:rPr>
                <w:rFonts w:asciiTheme="minorHAnsi" w:hAnsiTheme="minorHAnsi" w:cstheme="minorHAnsi"/>
                <w:color w:val="0070C0"/>
                <w:sz w:val="18"/>
                <w:szCs w:val="18"/>
              </w:rPr>
            </w:pPr>
            <w:r w:rsidRPr="00E039AA">
              <w:rPr>
                <w:rFonts w:asciiTheme="minorHAnsi" w:hAnsiTheme="minorHAnsi" w:cstheme="minorHAnsi"/>
                <w:color w:val="0070C0"/>
                <w:sz w:val="18"/>
                <w:szCs w:val="18"/>
              </w:rPr>
              <w:t>Verantwortlich:</w:t>
            </w:r>
          </w:p>
          <w:p w:rsidR="006B3261" w:rsidRPr="00E039AA" w:rsidRDefault="006B3261" w:rsidP="00300C05">
            <w:pPr>
              <w:rPr>
                <w:rFonts w:asciiTheme="minorHAnsi" w:hAnsiTheme="minorHAnsi" w:cstheme="minorHAnsi"/>
                <w:color w:val="0070C0"/>
                <w:sz w:val="18"/>
                <w:szCs w:val="18"/>
              </w:rPr>
            </w:pPr>
            <w:r w:rsidRPr="00E039AA">
              <w:rPr>
                <w:rFonts w:asciiTheme="minorHAnsi" w:hAnsiTheme="minorHAnsi" w:cstheme="minorHAnsi"/>
                <w:color w:val="0070C0"/>
                <w:sz w:val="18"/>
                <w:szCs w:val="18"/>
              </w:rPr>
              <w:t>Alexander Nothaft</w:t>
            </w:r>
          </w:p>
          <w:p w:rsidR="006B3261" w:rsidRPr="00E039AA" w:rsidRDefault="006B3261" w:rsidP="006B3261">
            <w:pPr>
              <w:rPr>
                <w:rFonts w:asciiTheme="minorHAnsi" w:hAnsiTheme="minorHAnsi" w:cstheme="minorHAnsi"/>
                <w:color w:val="0070C0"/>
                <w:sz w:val="18"/>
                <w:szCs w:val="18"/>
              </w:rPr>
            </w:pPr>
            <w:r w:rsidRPr="00E039AA">
              <w:rPr>
                <w:rFonts w:asciiTheme="minorHAnsi" w:hAnsiTheme="minorHAnsi" w:cstheme="minorHAnsi"/>
                <w:color w:val="0070C0"/>
                <w:sz w:val="18"/>
                <w:szCs w:val="18"/>
              </w:rPr>
              <w:t>Leiter Kommunikation</w:t>
            </w:r>
          </w:p>
        </w:tc>
      </w:tr>
      <w:tr w:rsidR="006B3261" w:rsidTr="00002DA4">
        <w:tc>
          <w:tcPr>
            <w:tcW w:w="4323" w:type="dxa"/>
          </w:tcPr>
          <w:p w:rsidR="006B3261" w:rsidRPr="00E039AA" w:rsidRDefault="006B3261">
            <w:pPr>
              <w:rPr>
                <w:rFonts w:asciiTheme="minorHAnsi" w:hAnsiTheme="minorHAnsi" w:cstheme="minorHAnsi"/>
                <w:color w:val="0070C0"/>
              </w:rPr>
            </w:pPr>
            <w:r w:rsidRPr="00E039AA">
              <w:rPr>
                <w:rFonts w:asciiTheme="minorHAnsi" w:hAnsiTheme="minorHAnsi" w:cstheme="minorHAnsi"/>
                <w:color w:val="0070C0"/>
              </w:rPr>
              <w:t xml:space="preserve">Nr. </w:t>
            </w:r>
            <w:r w:rsidR="001066CC">
              <w:rPr>
                <w:rFonts w:asciiTheme="minorHAnsi" w:hAnsiTheme="minorHAnsi" w:cstheme="minorHAnsi"/>
                <w:color w:val="0070C0"/>
              </w:rPr>
              <w:t>1</w:t>
            </w:r>
            <w:r w:rsidR="00C53288">
              <w:rPr>
                <w:rFonts w:asciiTheme="minorHAnsi" w:hAnsiTheme="minorHAnsi" w:cstheme="minorHAnsi"/>
                <w:color w:val="0070C0"/>
              </w:rPr>
              <w:t>1</w:t>
            </w:r>
            <w:r w:rsidRPr="00E039AA">
              <w:rPr>
                <w:rFonts w:asciiTheme="minorHAnsi" w:hAnsiTheme="minorHAnsi" w:cstheme="minorHAnsi"/>
                <w:color w:val="0070C0"/>
              </w:rPr>
              <w:t>/</w:t>
            </w:r>
            <w:r w:rsidR="001066CC">
              <w:rPr>
                <w:rFonts w:asciiTheme="minorHAnsi" w:hAnsiTheme="minorHAnsi" w:cstheme="minorHAnsi"/>
                <w:color w:val="0070C0"/>
              </w:rPr>
              <w:t>2018</w:t>
            </w:r>
            <w:r w:rsidRPr="00E039AA">
              <w:rPr>
                <w:rFonts w:asciiTheme="minorHAnsi" w:hAnsiTheme="minorHAnsi" w:cstheme="minorHAnsi"/>
                <w:color w:val="0070C0"/>
              </w:rPr>
              <w:t xml:space="preserve">                                   </w:t>
            </w:r>
          </w:p>
        </w:tc>
        <w:tc>
          <w:tcPr>
            <w:tcW w:w="3118" w:type="dxa"/>
            <w:gridSpan w:val="2"/>
          </w:tcPr>
          <w:p w:rsidR="006B3261" w:rsidRPr="00E039AA" w:rsidRDefault="006B3261">
            <w:pPr>
              <w:rPr>
                <w:rFonts w:asciiTheme="minorHAnsi" w:hAnsiTheme="minorHAnsi" w:cstheme="minorHAnsi"/>
                <w:color w:val="0070C0"/>
              </w:rPr>
            </w:pPr>
          </w:p>
        </w:tc>
        <w:tc>
          <w:tcPr>
            <w:tcW w:w="2268" w:type="dxa"/>
          </w:tcPr>
          <w:p w:rsidR="006B3261" w:rsidRPr="00E039AA" w:rsidRDefault="006B3261" w:rsidP="00002DA4">
            <w:pPr>
              <w:rPr>
                <w:rFonts w:asciiTheme="minorHAnsi" w:hAnsiTheme="minorHAnsi" w:cstheme="minorHAnsi"/>
                <w:color w:val="0070C0"/>
                <w:sz w:val="18"/>
                <w:szCs w:val="18"/>
              </w:rPr>
            </w:pPr>
          </w:p>
        </w:tc>
      </w:tr>
      <w:tr w:rsidR="006B3261" w:rsidTr="00002DA4">
        <w:tc>
          <w:tcPr>
            <w:tcW w:w="4323" w:type="dxa"/>
          </w:tcPr>
          <w:p w:rsidR="006B3261" w:rsidRPr="00E039AA" w:rsidRDefault="006B3261">
            <w:pPr>
              <w:rPr>
                <w:rFonts w:asciiTheme="minorHAnsi" w:hAnsiTheme="minorHAnsi" w:cstheme="minorHAnsi"/>
                <w:color w:val="0070C0"/>
              </w:rPr>
            </w:pPr>
          </w:p>
        </w:tc>
        <w:tc>
          <w:tcPr>
            <w:tcW w:w="3118" w:type="dxa"/>
            <w:gridSpan w:val="2"/>
          </w:tcPr>
          <w:p w:rsidR="006B3261" w:rsidRPr="00E039AA" w:rsidRDefault="006B3261">
            <w:pPr>
              <w:rPr>
                <w:rFonts w:asciiTheme="minorHAnsi" w:hAnsiTheme="minorHAnsi" w:cstheme="minorHAnsi"/>
                <w:color w:val="0070C0"/>
              </w:rPr>
            </w:pPr>
          </w:p>
        </w:tc>
        <w:tc>
          <w:tcPr>
            <w:tcW w:w="2268" w:type="dxa"/>
          </w:tcPr>
          <w:p w:rsidR="006B3261" w:rsidRPr="00E039AA" w:rsidRDefault="006B3261" w:rsidP="00E039AA">
            <w:pPr>
              <w:jc w:val="left"/>
              <w:rPr>
                <w:rFonts w:asciiTheme="minorHAnsi" w:hAnsiTheme="minorHAnsi" w:cstheme="minorHAnsi"/>
                <w:color w:val="0070C0"/>
                <w:sz w:val="18"/>
                <w:szCs w:val="18"/>
              </w:rPr>
            </w:pPr>
            <w:r w:rsidRPr="00E039AA">
              <w:rPr>
                <w:rFonts w:asciiTheme="minorHAnsi" w:hAnsiTheme="minorHAnsi" w:cstheme="minorHAnsi"/>
                <w:color w:val="0070C0"/>
                <w:sz w:val="18"/>
                <w:szCs w:val="18"/>
              </w:rPr>
              <w:t>Telefon</w:t>
            </w:r>
            <w:r w:rsidR="00E039AA">
              <w:rPr>
                <w:rFonts w:asciiTheme="minorHAnsi" w:hAnsiTheme="minorHAnsi" w:cstheme="minorHAnsi"/>
                <w:color w:val="0070C0"/>
                <w:sz w:val="18"/>
                <w:szCs w:val="18"/>
              </w:rPr>
              <w:tab/>
            </w:r>
            <w:r w:rsidRPr="00E039AA">
              <w:rPr>
                <w:rFonts w:asciiTheme="minorHAnsi" w:hAnsiTheme="minorHAnsi" w:cstheme="minorHAnsi"/>
                <w:color w:val="0070C0"/>
                <w:sz w:val="18"/>
                <w:szCs w:val="18"/>
              </w:rPr>
              <w:t>[030] 59 00 91-523</w:t>
            </w:r>
          </w:p>
          <w:p w:rsidR="006B3261" w:rsidRPr="00E039AA" w:rsidRDefault="006B3261" w:rsidP="00002DA4">
            <w:pPr>
              <w:rPr>
                <w:rFonts w:asciiTheme="minorHAnsi" w:hAnsiTheme="minorHAnsi" w:cstheme="minorHAnsi"/>
                <w:color w:val="0070C0"/>
                <w:sz w:val="18"/>
                <w:szCs w:val="18"/>
              </w:rPr>
            </w:pPr>
            <w:r w:rsidRPr="00E039AA">
              <w:rPr>
                <w:rFonts w:asciiTheme="minorHAnsi" w:hAnsiTheme="minorHAnsi" w:cstheme="minorHAnsi"/>
                <w:color w:val="0070C0"/>
                <w:sz w:val="18"/>
                <w:szCs w:val="18"/>
              </w:rPr>
              <w:t xml:space="preserve">Telefax </w:t>
            </w:r>
            <w:r w:rsidR="00E039AA">
              <w:rPr>
                <w:rFonts w:asciiTheme="minorHAnsi" w:hAnsiTheme="minorHAnsi" w:cstheme="minorHAnsi"/>
                <w:color w:val="0070C0"/>
                <w:sz w:val="18"/>
                <w:szCs w:val="18"/>
              </w:rPr>
              <w:tab/>
            </w:r>
            <w:r w:rsidRPr="00E039AA">
              <w:rPr>
                <w:rFonts w:asciiTheme="minorHAnsi" w:hAnsiTheme="minorHAnsi" w:cstheme="minorHAnsi"/>
                <w:color w:val="0070C0"/>
                <w:sz w:val="18"/>
                <w:szCs w:val="18"/>
              </w:rPr>
              <w:t>[030] 59 00 91-501</w:t>
            </w:r>
          </w:p>
          <w:p w:rsidR="006B3261" w:rsidRPr="00E039AA" w:rsidRDefault="006B3261" w:rsidP="00002DA4">
            <w:pPr>
              <w:rPr>
                <w:rFonts w:asciiTheme="minorHAnsi" w:hAnsiTheme="minorHAnsi" w:cstheme="minorHAnsi"/>
                <w:color w:val="0070C0"/>
                <w:sz w:val="18"/>
                <w:szCs w:val="18"/>
              </w:rPr>
            </w:pPr>
            <w:r w:rsidRPr="00E039AA">
              <w:rPr>
                <w:rFonts w:asciiTheme="minorHAnsi" w:hAnsiTheme="minorHAnsi" w:cstheme="minorHAnsi"/>
                <w:color w:val="0070C0"/>
                <w:sz w:val="18"/>
                <w:szCs w:val="18"/>
              </w:rPr>
              <w:t>E-Mail: nothaft@vdpb.de</w:t>
            </w:r>
          </w:p>
          <w:p w:rsidR="005A3815" w:rsidRPr="00E039AA" w:rsidRDefault="005A3815" w:rsidP="00002DA4">
            <w:pPr>
              <w:rPr>
                <w:rFonts w:asciiTheme="minorHAnsi" w:hAnsiTheme="minorHAnsi" w:cstheme="minorHAnsi"/>
                <w:color w:val="0070C0"/>
                <w:sz w:val="18"/>
                <w:szCs w:val="18"/>
              </w:rPr>
            </w:pPr>
            <w:r w:rsidRPr="00E039AA">
              <w:rPr>
                <w:rFonts w:asciiTheme="minorHAnsi" w:hAnsiTheme="minorHAnsi" w:cstheme="minorHAnsi"/>
                <w:color w:val="0070C0"/>
                <w:sz w:val="18"/>
                <w:szCs w:val="18"/>
              </w:rPr>
              <w:t>www.bausparkassen.de</w:t>
            </w:r>
          </w:p>
          <w:p w:rsidR="006B3261" w:rsidRPr="00E039AA" w:rsidRDefault="006B3261">
            <w:pPr>
              <w:rPr>
                <w:rFonts w:asciiTheme="minorHAnsi" w:hAnsiTheme="minorHAnsi" w:cstheme="minorHAnsi"/>
                <w:color w:val="0070C0"/>
                <w:sz w:val="18"/>
                <w:szCs w:val="18"/>
              </w:rPr>
            </w:pPr>
          </w:p>
        </w:tc>
      </w:tr>
      <w:tr w:rsidR="006B3261" w:rsidTr="00002DA4">
        <w:tc>
          <w:tcPr>
            <w:tcW w:w="4323" w:type="dxa"/>
          </w:tcPr>
          <w:p w:rsidR="006B3261" w:rsidRPr="00E039AA" w:rsidRDefault="006B3261">
            <w:pPr>
              <w:rPr>
                <w:rFonts w:asciiTheme="minorHAnsi" w:hAnsiTheme="minorHAnsi" w:cstheme="minorHAnsi"/>
                <w:color w:val="0070C0"/>
              </w:rPr>
            </w:pPr>
          </w:p>
        </w:tc>
        <w:tc>
          <w:tcPr>
            <w:tcW w:w="3118" w:type="dxa"/>
            <w:gridSpan w:val="2"/>
          </w:tcPr>
          <w:p w:rsidR="006B3261" w:rsidRPr="00E039AA" w:rsidRDefault="006B3261">
            <w:pPr>
              <w:rPr>
                <w:rFonts w:asciiTheme="minorHAnsi" w:hAnsiTheme="minorHAnsi" w:cstheme="minorHAnsi"/>
                <w:color w:val="0070C0"/>
              </w:rPr>
            </w:pPr>
          </w:p>
        </w:tc>
        <w:tc>
          <w:tcPr>
            <w:tcW w:w="2268" w:type="dxa"/>
          </w:tcPr>
          <w:p w:rsidR="006B3261" w:rsidRPr="00E039AA" w:rsidRDefault="006B3261">
            <w:pPr>
              <w:rPr>
                <w:rFonts w:asciiTheme="minorHAnsi" w:hAnsiTheme="minorHAnsi" w:cstheme="minorHAnsi"/>
                <w:color w:val="0070C0"/>
                <w:sz w:val="18"/>
                <w:szCs w:val="18"/>
              </w:rPr>
            </w:pPr>
            <w:r w:rsidRPr="00E039AA">
              <w:rPr>
                <w:rFonts w:asciiTheme="minorHAnsi" w:hAnsiTheme="minorHAnsi" w:cstheme="minorHAnsi"/>
                <w:color w:val="0070C0"/>
                <w:sz w:val="18"/>
                <w:szCs w:val="18"/>
              </w:rPr>
              <w:t>Postfach 30 30 79</w:t>
            </w:r>
          </w:p>
          <w:p w:rsidR="006B3261" w:rsidRPr="00E039AA" w:rsidRDefault="006B3261">
            <w:pPr>
              <w:rPr>
                <w:rFonts w:asciiTheme="minorHAnsi" w:hAnsiTheme="minorHAnsi" w:cstheme="minorHAnsi"/>
                <w:color w:val="0070C0"/>
                <w:sz w:val="18"/>
                <w:szCs w:val="18"/>
              </w:rPr>
            </w:pPr>
            <w:r w:rsidRPr="00E039AA">
              <w:rPr>
                <w:rFonts w:asciiTheme="minorHAnsi" w:hAnsiTheme="minorHAnsi" w:cstheme="minorHAnsi"/>
                <w:color w:val="0070C0"/>
                <w:sz w:val="18"/>
                <w:szCs w:val="18"/>
              </w:rPr>
              <w:t>10730 Berlin</w:t>
            </w:r>
          </w:p>
        </w:tc>
      </w:tr>
    </w:tbl>
    <w:p w:rsidR="00002DA4" w:rsidRDefault="00002DA4" w:rsidP="00BC3F28">
      <w:pPr>
        <w:pStyle w:val="Absatz"/>
        <w:tabs>
          <w:tab w:val="left" w:pos="6237"/>
        </w:tabs>
        <w:spacing w:before="0" w:after="0"/>
        <w:ind w:right="1700"/>
        <w:jc w:val="center"/>
        <w:rPr>
          <w:b/>
          <w:sz w:val="32"/>
          <w:szCs w:val="32"/>
        </w:rPr>
      </w:pPr>
    </w:p>
    <w:p w:rsidR="008D35C7" w:rsidRDefault="008D35C7" w:rsidP="00BC3F28">
      <w:pPr>
        <w:pStyle w:val="Absatz"/>
        <w:tabs>
          <w:tab w:val="left" w:pos="6237"/>
        </w:tabs>
        <w:spacing w:before="0" w:after="0"/>
        <w:ind w:right="1700"/>
        <w:jc w:val="center"/>
        <w:rPr>
          <w:b/>
          <w:sz w:val="32"/>
          <w:szCs w:val="32"/>
        </w:rPr>
      </w:pPr>
    </w:p>
    <w:p w:rsidR="00BC3F28" w:rsidRPr="00C53288" w:rsidRDefault="00C53288" w:rsidP="001066CC">
      <w:pPr>
        <w:pStyle w:val="Absatz"/>
        <w:tabs>
          <w:tab w:val="left" w:pos="6237"/>
        </w:tabs>
        <w:spacing w:before="0" w:after="0" w:line="360" w:lineRule="auto"/>
        <w:ind w:right="1700"/>
        <w:jc w:val="center"/>
        <w:rPr>
          <w:rFonts w:asciiTheme="minorHAnsi" w:hAnsiTheme="minorHAnsi" w:cstheme="minorHAnsi"/>
          <w:b/>
          <w:sz w:val="32"/>
          <w:szCs w:val="32"/>
        </w:rPr>
      </w:pPr>
      <w:r w:rsidRPr="00C53288">
        <w:rPr>
          <w:rFonts w:asciiTheme="minorHAnsi" w:hAnsiTheme="minorHAnsi" w:cstheme="minorHAnsi"/>
          <w:b/>
          <w:sz w:val="32"/>
          <w:szCs w:val="32"/>
        </w:rPr>
        <w:t>„Die Mär von</w:t>
      </w:r>
      <w:r w:rsidR="007F1DDD">
        <w:rPr>
          <w:rFonts w:asciiTheme="minorHAnsi" w:hAnsiTheme="minorHAnsi" w:cstheme="minorHAnsi"/>
          <w:b/>
          <w:sz w:val="32"/>
          <w:szCs w:val="32"/>
        </w:rPr>
        <w:t xml:space="preserve"> viel</w:t>
      </w:r>
      <w:r w:rsidRPr="00C53288">
        <w:rPr>
          <w:rFonts w:asciiTheme="minorHAnsi" w:hAnsiTheme="minorHAnsi" w:cstheme="minorHAnsi"/>
          <w:b/>
          <w:sz w:val="32"/>
          <w:szCs w:val="32"/>
        </w:rPr>
        <w:t xml:space="preserve"> zu vielen Eigenheimen auf dem Land“</w:t>
      </w:r>
    </w:p>
    <w:p w:rsidR="00C53288" w:rsidRDefault="00C53288" w:rsidP="00BC3F28">
      <w:pPr>
        <w:pStyle w:val="Absatz"/>
        <w:tabs>
          <w:tab w:val="left" w:pos="6237"/>
        </w:tabs>
        <w:spacing w:before="0" w:after="0"/>
        <w:ind w:right="1700"/>
        <w:jc w:val="center"/>
        <w:rPr>
          <w:rFonts w:asciiTheme="minorHAnsi" w:hAnsiTheme="minorHAnsi" w:cstheme="minorHAnsi"/>
          <w:b/>
          <w:bCs/>
          <w:sz w:val="28"/>
          <w:szCs w:val="28"/>
        </w:rPr>
      </w:pPr>
      <w:r w:rsidRPr="00C53288">
        <w:rPr>
          <w:rFonts w:asciiTheme="minorHAnsi" w:hAnsiTheme="minorHAnsi" w:cstheme="minorHAnsi"/>
          <w:b/>
          <w:sz w:val="28"/>
          <w:szCs w:val="28"/>
        </w:rPr>
        <w:t>Qualitative Zusatznachfrage re</w:t>
      </w:r>
      <w:r w:rsidRPr="00C53288">
        <w:rPr>
          <w:rFonts w:asciiTheme="minorHAnsi" w:hAnsiTheme="minorHAnsi" w:cstheme="minorHAnsi"/>
          <w:b/>
          <w:bCs/>
          <w:sz w:val="28"/>
          <w:szCs w:val="28"/>
        </w:rPr>
        <w:t>lativiert angeblichen</w:t>
      </w:r>
      <w:r>
        <w:rPr>
          <w:rFonts w:asciiTheme="minorHAnsi" w:hAnsiTheme="minorHAnsi" w:cstheme="minorHAnsi"/>
          <w:b/>
          <w:bCs/>
          <w:sz w:val="28"/>
          <w:szCs w:val="28"/>
        </w:rPr>
        <w:t xml:space="preserve"> Überhang</w:t>
      </w:r>
    </w:p>
    <w:p w:rsidR="00BC3F28" w:rsidRDefault="00C53288" w:rsidP="00BC3F28">
      <w:pPr>
        <w:pStyle w:val="Absatz"/>
        <w:tabs>
          <w:tab w:val="left" w:pos="6237"/>
        </w:tabs>
        <w:spacing w:before="0" w:after="0"/>
        <w:ind w:right="1700"/>
        <w:jc w:val="center"/>
        <w:rPr>
          <w:rFonts w:asciiTheme="minorHAnsi" w:hAnsiTheme="minorHAnsi" w:cstheme="minorHAnsi"/>
          <w:b/>
          <w:bCs/>
          <w:sz w:val="28"/>
          <w:szCs w:val="28"/>
        </w:rPr>
      </w:pPr>
      <w:r w:rsidRPr="00C53288">
        <w:rPr>
          <w:rFonts w:asciiTheme="minorHAnsi" w:hAnsiTheme="minorHAnsi" w:cstheme="minorHAnsi"/>
          <w:b/>
          <w:bCs/>
          <w:sz w:val="28"/>
          <w:szCs w:val="28"/>
        </w:rPr>
        <w:t>in Schrumpfungsregionen</w:t>
      </w:r>
    </w:p>
    <w:p w:rsidR="00C53288" w:rsidRPr="00C53288" w:rsidRDefault="00C53288" w:rsidP="00BC3F28">
      <w:pPr>
        <w:pStyle w:val="Absatz"/>
        <w:tabs>
          <w:tab w:val="left" w:pos="6237"/>
        </w:tabs>
        <w:spacing w:before="0" w:after="0"/>
        <w:ind w:right="1700"/>
        <w:jc w:val="center"/>
        <w:rPr>
          <w:rFonts w:asciiTheme="minorHAnsi" w:hAnsiTheme="minorHAnsi" w:cstheme="minorHAnsi"/>
          <w:b/>
          <w:sz w:val="28"/>
          <w:szCs w:val="28"/>
        </w:rPr>
      </w:pPr>
      <w:r w:rsidRPr="00C53288">
        <w:rPr>
          <w:rFonts w:asciiTheme="minorHAnsi" w:hAnsiTheme="minorHAnsi" w:cstheme="minorHAnsi"/>
          <w:b/>
          <w:bCs/>
          <w:sz w:val="28"/>
          <w:szCs w:val="28"/>
        </w:rPr>
        <w:t>Gründe für Neubau trotz Leerständen</w:t>
      </w:r>
    </w:p>
    <w:p w:rsidR="00BC3F28" w:rsidRPr="00E039AA" w:rsidRDefault="00BC3F28" w:rsidP="00BC3F28">
      <w:pPr>
        <w:pStyle w:val="Absatz"/>
        <w:tabs>
          <w:tab w:val="left" w:pos="6237"/>
        </w:tabs>
        <w:spacing w:before="0" w:after="0"/>
        <w:ind w:right="1700"/>
        <w:jc w:val="center"/>
        <w:rPr>
          <w:rFonts w:asciiTheme="minorHAnsi" w:hAnsiTheme="minorHAnsi" w:cstheme="minorHAnsi"/>
          <w:b/>
          <w:sz w:val="32"/>
        </w:rPr>
      </w:pPr>
    </w:p>
    <w:p w:rsidR="0093267B" w:rsidRPr="00C53288" w:rsidRDefault="00C53288" w:rsidP="00C53288">
      <w:pPr>
        <w:pStyle w:val="NurText"/>
        <w:spacing w:before="120" w:line="276" w:lineRule="auto"/>
        <w:ind w:right="1982"/>
        <w:jc w:val="both"/>
        <w:rPr>
          <w:rFonts w:asciiTheme="minorHAnsi" w:hAnsiTheme="minorHAnsi" w:cstheme="minorHAnsi"/>
          <w:b/>
          <w:sz w:val="24"/>
          <w:szCs w:val="22"/>
        </w:rPr>
      </w:pPr>
      <w:r w:rsidRPr="00C53288">
        <w:rPr>
          <w:rFonts w:asciiTheme="minorHAnsi" w:hAnsiTheme="minorHAnsi" w:cstheme="minorHAnsi"/>
          <w:b/>
          <w:bCs/>
          <w:sz w:val="24"/>
          <w:szCs w:val="22"/>
        </w:rPr>
        <w:t>Werden auf dem Land viel zu viele Eigenheime gebaut? Behauptet wird das häufiger. Aber stimmt das auch? Dieser Frage ist das empirica-Institut Berlin im Auftrag des Verbands der Privaten Bausparkassen nachgegangen. Das Ergebnis: Deutschlandweit fehlen rund 300.000 Eigenheime. Zwar gibt es Schrumpfungsregionen, in denen die Fertigstellungen den quantitativen B</w:t>
      </w:r>
      <w:r w:rsidRPr="00C53288">
        <w:rPr>
          <w:rFonts w:asciiTheme="minorHAnsi" w:hAnsiTheme="minorHAnsi" w:cstheme="minorHAnsi"/>
          <w:b/>
          <w:bCs/>
          <w:sz w:val="24"/>
          <w:szCs w:val="22"/>
        </w:rPr>
        <w:t>e</w:t>
      </w:r>
      <w:r w:rsidRPr="00C53288">
        <w:rPr>
          <w:rFonts w:asciiTheme="minorHAnsi" w:hAnsiTheme="minorHAnsi" w:cstheme="minorHAnsi"/>
          <w:b/>
          <w:bCs/>
          <w:sz w:val="24"/>
          <w:szCs w:val="22"/>
        </w:rPr>
        <w:t>darf rechnerisch übersteigen. Die Summe dieses „Überhangs“ ist allerdings gering. Zudem muss dabei die qualitative Zusatznachfrage berücksichtigt werden. Angeblich zu</w:t>
      </w:r>
      <w:r w:rsidR="00CE5DE7">
        <w:rPr>
          <w:rFonts w:asciiTheme="minorHAnsi" w:hAnsiTheme="minorHAnsi" w:cstheme="minorHAnsi"/>
          <w:b/>
          <w:bCs/>
          <w:sz w:val="24"/>
          <w:szCs w:val="22"/>
        </w:rPr>
        <w:t xml:space="preserve"> </w:t>
      </w:r>
      <w:r w:rsidRPr="00C53288">
        <w:rPr>
          <w:rFonts w:asciiTheme="minorHAnsi" w:hAnsiTheme="minorHAnsi" w:cstheme="minorHAnsi"/>
          <w:b/>
          <w:bCs/>
          <w:sz w:val="24"/>
          <w:szCs w:val="22"/>
        </w:rPr>
        <w:t>viel gebaute Eigenheime erfüllen Wohnwünsche und stehen nicht leer. Neubau in ländlichen Regionen ist zudem vielfach auch ein Mosaikstein zur Überwindung der Knappheit in Ballungsräumen.</w:t>
      </w:r>
    </w:p>
    <w:p w:rsidR="000C1926" w:rsidRPr="00C53288" w:rsidRDefault="000C1926" w:rsidP="008D35C7">
      <w:pPr>
        <w:pStyle w:val="NurText"/>
        <w:ind w:right="1985"/>
        <w:jc w:val="both"/>
        <w:rPr>
          <w:rFonts w:asciiTheme="minorHAnsi" w:hAnsiTheme="minorHAnsi" w:cstheme="minorHAnsi"/>
          <w:sz w:val="24"/>
          <w:szCs w:val="22"/>
        </w:rPr>
      </w:pPr>
    </w:p>
    <w:p w:rsidR="00C53288" w:rsidRPr="00C53288" w:rsidRDefault="00C53288" w:rsidP="00C53288">
      <w:pPr>
        <w:pStyle w:val="NurText"/>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 xml:space="preserve">Laut empirica-Institut liegt der jährliche Neubaubedarf an Eigenheimen bei rund 151.000 Einheiten. Zu einer ähnlichen Größenordnung kommt das </w:t>
      </w:r>
      <w:r w:rsidR="00321534">
        <w:rPr>
          <w:rFonts w:asciiTheme="minorHAnsi" w:hAnsiTheme="minorHAnsi" w:cstheme="minorHAnsi"/>
          <w:sz w:val="24"/>
          <w:szCs w:val="22"/>
        </w:rPr>
        <w:br/>
      </w:r>
      <w:r w:rsidRPr="00C53288">
        <w:rPr>
          <w:rFonts w:asciiTheme="minorHAnsi" w:hAnsiTheme="minorHAnsi" w:cstheme="minorHAnsi"/>
          <w:sz w:val="24"/>
          <w:szCs w:val="22"/>
        </w:rPr>
        <w:t>Bundesinstitut für Bau-, Stadt- und Raumforschung. Gemessen daran fiel die tatsächliche Neubautätigkeit seit 2012 mit durchschnittlich rund 104.000 Ei</w:t>
      </w:r>
      <w:r w:rsidRPr="00C53288">
        <w:rPr>
          <w:rFonts w:asciiTheme="minorHAnsi" w:hAnsiTheme="minorHAnsi" w:cstheme="minorHAnsi"/>
          <w:sz w:val="24"/>
          <w:szCs w:val="22"/>
        </w:rPr>
        <w:t>n</w:t>
      </w:r>
      <w:r w:rsidRPr="00C53288">
        <w:rPr>
          <w:rFonts w:asciiTheme="minorHAnsi" w:hAnsiTheme="minorHAnsi" w:cstheme="minorHAnsi"/>
          <w:sz w:val="24"/>
          <w:szCs w:val="22"/>
        </w:rPr>
        <w:t>heiten bundesweit viel zu gering aus. Seit 2012 summiert sich die Neubaul</w:t>
      </w:r>
      <w:r w:rsidRPr="00C53288">
        <w:rPr>
          <w:rFonts w:asciiTheme="minorHAnsi" w:hAnsiTheme="minorHAnsi" w:cstheme="minorHAnsi"/>
          <w:sz w:val="24"/>
          <w:szCs w:val="22"/>
        </w:rPr>
        <w:t>ü</w:t>
      </w:r>
      <w:r w:rsidRPr="00C53288">
        <w:rPr>
          <w:rFonts w:asciiTheme="minorHAnsi" w:hAnsiTheme="minorHAnsi" w:cstheme="minorHAnsi"/>
          <w:sz w:val="24"/>
          <w:szCs w:val="22"/>
        </w:rPr>
        <w:t xml:space="preserve">cke damit auf rund 300.000 Eigenheime. „Die Eigenheimnachfrage übersteigt das Neubauangebot bei weitem“, so Instituts-Vorstand Dr. Reiner Braun. Für </w:t>
      </w:r>
      <w:r w:rsidR="002078F7">
        <w:rPr>
          <w:rFonts w:asciiTheme="minorHAnsi" w:hAnsiTheme="minorHAnsi" w:cstheme="minorHAnsi"/>
          <w:sz w:val="24"/>
          <w:szCs w:val="22"/>
        </w:rPr>
        <w:br/>
      </w:r>
      <w:r w:rsidRPr="00C53288">
        <w:rPr>
          <w:rFonts w:asciiTheme="minorHAnsi" w:hAnsiTheme="minorHAnsi" w:cstheme="minorHAnsi"/>
          <w:sz w:val="24"/>
          <w:szCs w:val="22"/>
        </w:rPr>
        <w:t>Bausparkassen-Verbandschef Bernd Hertweck ist dies die wesentliche Bo</w:t>
      </w:r>
      <w:r w:rsidRPr="00C53288">
        <w:rPr>
          <w:rFonts w:asciiTheme="minorHAnsi" w:hAnsiTheme="minorHAnsi" w:cstheme="minorHAnsi"/>
          <w:sz w:val="24"/>
          <w:szCs w:val="22"/>
        </w:rPr>
        <w:t>t</w:t>
      </w:r>
      <w:r w:rsidRPr="00C53288">
        <w:rPr>
          <w:rFonts w:asciiTheme="minorHAnsi" w:hAnsiTheme="minorHAnsi" w:cstheme="minorHAnsi"/>
          <w:sz w:val="24"/>
          <w:szCs w:val="22"/>
        </w:rPr>
        <w:t>schaft der Untersuchung. „Die Diskussion über das Bauen in Schrumpfungsr</w:t>
      </w:r>
      <w:r w:rsidRPr="00C53288">
        <w:rPr>
          <w:rFonts w:asciiTheme="minorHAnsi" w:hAnsiTheme="minorHAnsi" w:cstheme="minorHAnsi"/>
          <w:sz w:val="24"/>
          <w:szCs w:val="22"/>
        </w:rPr>
        <w:t>e</w:t>
      </w:r>
      <w:r w:rsidRPr="00C53288">
        <w:rPr>
          <w:rFonts w:asciiTheme="minorHAnsi" w:hAnsiTheme="minorHAnsi" w:cstheme="minorHAnsi"/>
          <w:sz w:val="24"/>
          <w:szCs w:val="22"/>
        </w:rPr>
        <w:lastRenderedPageBreak/>
        <w:t>gionen sollte nicht den Blick darauf verstellen, was wirklich politisch nottut: Wir brauchen dringend mehr Neubau.“</w:t>
      </w:r>
    </w:p>
    <w:p w:rsidR="00C53288" w:rsidRPr="00C53288" w:rsidRDefault="00C53288" w:rsidP="008D35C7">
      <w:pPr>
        <w:pStyle w:val="NurText"/>
        <w:ind w:right="1985"/>
        <w:jc w:val="both"/>
        <w:rPr>
          <w:rFonts w:asciiTheme="minorHAnsi" w:hAnsiTheme="minorHAnsi" w:cstheme="minorHAnsi"/>
          <w:sz w:val="24"/>
          <w:szCs w:val="22"/>
        </w:rPr>
      </w:pPr>
    </w:p>
    <w:p w:rsidR="00C53288" w:rsidRDefault="00C53288" w:rsidP="00C53288">
      <w:pPr>
        <w:pStyle w:val="NurText"/>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Das empirica-Institut beziffert die Zahl der in Schrumpfungsregionen rein rechnerisch „zu viel“ gebauten Eigenheime auf weniger als 5.000 Einheiten. Dies entspricht etwa 4 Prozent aller Neubauten. „Für diesen `Überhang` gibt es allerdings gute Gründe: nämlich fehlende Qualitäten im Bestand“, erläute</w:t>
      </w:r>
      <w:r w:rsidRPr="00C53288">
        <w:rPr>
          <w:rFonts w:asciiTheme="minorHAnsi" w:hAnsiTheme="minorHAnsi" w:cstheme="minorHAnsi"/>
          <w:sz w:val="24"/>
          <w:szCs w:val="22"/>
        </w:rPr>
        <w:t>r</w:t>
      </w:r>
      <w:r w:rsidRPr="00C53288">
        <w:rPr>
          <w:rFonts w:asciiTheme="minorHAnsi" w:hAnsiTheme="minorHAnsi" w:cstheme="minorHAnsi"/>
          <w:sz w:val="24"/>
          <w:szCs w:val="22"/>
        </w:rPr>
        <w:t>te Braun. Hertweck ergänzt: „Wird die qualitative Zusatznachfrage berücksic</w:t>
      </w:r>
      <w:r w:rsidRPr="00C53288">
        <w:rPr>
          <w:rFonts w:asciiTheme="minorHAnsi" w:hAnsiTheme="minorHAnsi" w:cstheme="minorHAnsi"/>
          <w:sz w:val="24"/>
          <w:szCs w:val="22"/>
        </w:rPr>
        <w:t>h</w:t>
      </w:r>
      <w:r w:rsidRPr="00C53288">
        <w:rPr>
          <w:rFonts w:asciiTheme="minorHAnsi" w:hAnsiTheme="minorHAnsi" w:cstheme="minorHAnsi"/>
          <w:sz w:val="24"/>
          <w:szCs w:val="22"/>
        </w:rPr>
        <w:t>tigt, muss man sich fragen, warum die Diskussion nicht schon längst ad acta gelegt wurde?“ Und „Wollen wir Deutschland morgen in Orte einteilen, in denen richtigerweise gebaut werden darf, und solche, in denen der Bau u</w:t>
      </w:r>
      <w:r w:rsidRPr="00C53288">
        <w:rPr>
          <w:rFonts w:asciiTheme="minorHAnsi" w:hAnsiTheme="minorHAnsi" w:cstheme="minorHAnsi"/>
          <w:sz w:val="24"/>
          <w:szCs w:val="22"/>
        </w:rPr>
        <w:t>n</w:t>
      </w:r>
      <w:r w:rsidRPr="00C53288">
        <w:rPr>
          <w:rFonts w:asciiTheme="minorHAnsi" w:hAnsiTheme="minorHAnsi" w:cstheme="minorHAnsi"/>
          <w:sz w:val="24"/>
          <w:szCs w:val="22"/>
        </w:rPr>
        <w:t>terbleiben sollte?“ Auch in ländlichen Regionen gebe es oft noch echte Knappheiten im Bestand. Aber selbst da, wo dies nicht zutreffe, könne Ne</w:t>
      </w:r>
      <w:r w:rsidRPr="00C53288">
        <w:rPr>
          <w:rFonts w:asciiTheme="minorHAnsi" w:hAnsiTheme="minorHAnsi" w:cstheme="minorHAnsi"/>
          <w:sz w:val="24"/>
          <w:szCs w:val="22"/>
        </w:rPr>
        <w:t>u</w:t>
      </w:r>
      <w:r w:rsidRPr="00C53288">
        <w:rPr>
          <w:rFonts w:asciiTheme="minorHAnsi" w:hAnsiTheme="minorHAnsi" w:cstheme="minorHAnsi"/>
          <w:sz w:val="24"/>
          <w:szCs w:val="22"/>
        </w:rPr>
        <w:t>bau erforderlich sein.</w:t>
      </w:r>
    </w:p>
    <w:p w:rsidR="00C53288" w:rsidRDefault="00C53288" w:rsidP="008D35C7">
      <w:pPr>
        <w:pStyle w:val="NurText"/>
        <w:ind w:right="1985"/>
        <w:jc w:val="both"/>
        <w:rPr>
          <w:rFonts w:asciiTheme="minorHAnsi" w:hAnsiTheme="minorHAnsi" w:cstheme="minorHAnsi"/>
          <w:sz w:val="24"/>
          <w:szCs w:val="22"/>
        </w:rPr>
      </w:pPr>
    </w:p>
    <w:p w:rsidR="00C53288" w:rsidRDefault="00C53288" w:rsidP="00C53288">
      <w:pPr>
        <w:pStyle w:val="NurText"/>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Um mehr darüber zu erfahren, warum neu gebaut statt alt gekauft wurde, führte das Forschungsinstitut neben Expertengesprächen so genannte „Zau</w:t>
      </w:r>
      <w:r w:rsidRPr="00C53288">
        <w:rPr>
          <w:rFonts w:asciiTheme="minorHAnsi" w:hAnsiTheme="minorHAnsi" w:cstheme="minorHAnsi"/>
          <w:sz w:val="24"/>
          <w:szCs w:val="22"/>
        </w:rPr>
        <w:t>n</w:t>
      </w:r>
      <w:r w:rsidRPr="00C53288">
        <w:rPr>
          <w:rFonts w:asciiTheme="minorHAnsi" w:hAnsiTheme="minorHAnsi" w:cstheme="minorHAnsi"/>
          <w:sz w:val="24"/>
          <w:szCs w:val="22"/>
        </w:rPr>
        <w:t>gespräche“ mit Bewohnern neuer Eigenheime in den Landkreisen Kusel, Hö</w:t>
      </w:r>
      <w:r w:rsidRPr="00C53288">
        <w:rPr>
          <w:rFonts w:asciiTheme="minorHAnsi" w:hAnsiTheme="minorHAnsi" w:cstheme="minorHAnsi"/>
          <w:sz w:val="24"/>
          <w:szCs w:val="22"/>
        </w:rPr>
        <w:t>x</w:t>
      </w:r>
      <w:r w:rsidRPr="00C53288">
        <w:rPr>
          <w:rFonts w:asciiTheme="minorHAnsi" w:hAnsiTheme="minorHAnsi" w:cstheme="minorHAnsi"/>
          <w:sz w:val="24"/>
          <w:szCs w:val="22"/>
        </w:rPr>
        <w:t>ter und Harz durch. Diese drei Landkreise wurden in einem mehrstufigen Ve</w:t>
      </w:r>
      <w:r w:rsidRPr="00C53288">
        <w:rPr>
          <w:rFonts w:asciiTheme="minorHAnsi" w:hAnsiTheme="minorHAnsi" w:cstheme="minorHAnsi"/>
          <w:sz w:val="24"/>
          <w:szCs w:val="22"/>
        </w:rPr>
        <w:t>r</w:t>
      </w:r>
      <w:r w:rsidRPr="00C53288">
        <w:rPr>
          <w:rFonts w:asciiTheme="minorHAnsi" w:hAnsiTheme="minorHAnsi" w:cstheme="minorHAnsi"/>
          <w:sz w:val="24"/>
          <w:szCs w:val="22"/>
        </w:rPr>
        <w:t>fahren ausgewählt, weil hier das Phänomen „Neubau plus Leerstand“ bei E</w:t>
      </w:r>
      <w:r w:rsidRPr="00C53288">
        <w:rPr>
          <w:rFonts w:asciiTheme="minorHAnsi" w:hAnsiTheme="minorHAnsi" w:cstheme="minorHAnsi"/>
          <w:sz w:val="24"/>
          <w:szCs w:val="22"/>
        </w:rPr>
        <w:t>i</w:t>
      </w:r>
      <w:r w:rsidRPr="00C53288">
        <w:rPr>
          <w:rFonts w:asciiTheme="minorHAnsi" w:hAnsiTheme="minorHAnsi" w:cstheme="minorHAnsi"/>
          <w:sz w:val="24"/>
          <w:szCs w:val="22"/>
        </w:rPr>
        <w:t>genheimen am stärksten auftritt.</w:t>
      </w:r>
    </w:p>
    <w:p w:rsidR="00C53288" w:rsidRDefault="00C53288" w:rsidP="008D35C7">
      <w:pPr>
        <w:pStyle w:val="NurText"/>
        <w:ind w:right="1985"/>
        <w:jc w:val="both"/>
        <w:rPr>
          <w:rFonts w:asciiTheme="minorHAnsi" w:hAnsiTheme="minorHAnsi" w:cstheme="minorHAnsi"/>
          <w:sz w:val="24"/>
          <w:szCs w:val="22"/>
        </w:rPr>
      </w:pPr>
    </w:p>
    <w:p w:rsidR="00C53288" w:rsidRDefault="00C53288" w:rsidP="00C53288">
      <w:pPr>
        <w:pStyle w:val="NurText"/>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Dabei zeigte sich: Oft sprechen zahlreiche rationale Gründe gegen den Kauf leerstehender Eigenheime.</w:t>
      </w:r>
    </w:p>
    <w:p w:rsidR="00C53288" w:rsidRPr="00C53288" w:rsidRDefault="00C53288" w:rsidP="008D35C7">
      <w:pPr>
        <w:pStyle w:val="NurText"/>
        <w:ind w:right="1985"/>
        <w:jc w:val="both"/>
        <w:rPr>
          <w:rFonts w:asciiTheme="minorHAnsi" w:hAnsiTheme="minorHAnsi" w:cstheme="minorHAnsi"/>
          <w:sz w:val="24"/>
          <w:szCs w:val="22"/>
        </w:rPr>
      </w:pPr>
    </w:p>
    <w:p w:rsidR="00C53288" w:rsidRDefault="00C53288" w:rsidP="00C53288">
      <w:pPr>
        <w:pStyle w:val="NurText"/>
        <w:numPr>
          <w:ilvl w:val="0"/>
          <w:numId w:val="5"/>
        </w:numPr>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Leerstände in „abgehängten“ Ortsteilen sind mit Kernlagen nicht ko</w:t>
      </w:r>
      <w:r w:rsidRPr="00C53288">
        <w:rPr>
          <w:rFonts w:asciiTheme="minorHAnsi" w:hAnsiTheme="minorHAnsi" w:cstheme="minorHAnsi"/>
          <w:sz w:val="24"/>
          <w:szCs w:val="22"/>
        </w:rPr>
        <w:t>n</w:t>
      </w:r>
      <w:r w:rsidRPr="00C53288">
        <w:rPr>
          <w:rFonts w:asciiTheme="minorHAnsi" w:hAnsiTheme="minorHAnsi" w:cstheme="minorHAnsi"/>
          <w:sz w:val="24"/>
          <w:szCs w:val="22"/>
        </w:rPr>
        <w:t>kurrenzfähig: „Es gibt keine Kita mehr, keine Grundschule, und die Nachbarn sind alle schon alt. Ich hätte unsere Familie dort nicht org</w:t>
      </w:r>
      <w:r w:rsidRPr="00C53288">
        <w:rPr>
          <w:rFonts w:asciiTheme="minorHAnsi" w:hAnsiTheme="minorHAnsi" w:cstheme="minorHAnsi"/>
          <w:sz w:val="24"/>
          <w:szCs w:val="22"/>
        </w:rPr>
        <w:t>a</w:t>
      </w:r>
      <w:r w:rsidRPr="00C53288">
        <w:rPr>
          <w:rFonts w:asciiTheme="minorHAnsi" w:hAnsiTheme="minorHAnsi" w:cstheme="minorHAnsi"/>
          <w:sz w:val="24"/>
          <w:szCs w:val="22"/>
        </w:rPr>
        <w:t>nisieren können.“</w:t>
      </w:r>
    </w:p>
    <w:p w:rsidR="00C53288" w:rsidRDefault="00C53288" w:rsidP="00C53288">
      <w:pPr>
        <w:pStyle w:val="NurText"/>
        <w:numPr>
          <w:ilvl w:val="0"/>
          <w:numId w:val="5"/>
        </w:numPr>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Auch Besonderheiten historischer Kerne machen es manchen Kaufwi</w:t>
      </w:r>
      <w:r w:rsidRPr="00C53288">
        <w:rPr>
          <w:rFonts w:asciiTheme="minorHAnsi" w:hAnsiTheme="minorHAnsi" w:cstheme="minorHAnsi"/>
          <w:sz w:val="24"/>
          <w:szCs w:val="22"/>
        </w:rPr>
        <w:t>l</w:t>
      </w:r>
      <w:r w:rsidRPr="00C53288">
        <w:rPr>
          <w:rFonts w:asciiTheme="minorHAnsi" w:hAnsiTheme="minorHAnsi" w:cstheme="minorHAnsi"/>
          <w:sz w:val="24"/>
          <w:szCs w:val="22"/>
        </w:rPr>
        <w:t>ligen schwer: „Wir wollten ein großes Haus, aber ohne Stufen. Die a</w:t>
      </w:r>
      <w:r w:rsidRPr="00C53288">
        <w:rPr>
          <w:rFonts w:asciiTheme="minorHAnsi" w:hAnsiTheme="minorHAnsi" w:cstheme="minorHAnsi"/>
          <w:sz w:val="24"/>
          <w:szCs w:val="22"/>
        </w:rPr>
        <w:t>l</w:t>
      </w:r>
      <w:r w:rsidRPr="00C53288">
        <w:rPr>
          <w:rFonts w:asciiTheme="minorHAnsi" w:hAnsiTheme="minorHAnsi" w:cstheme="minorHAnsi"/>
          <w:sz w:val="24"/>
          <w:szCs w:val="22"/>
        </w:rPr>
        <w:t>ten Villen waren toll, aber alle auf mehrere Etagen.“</w:t>
      </w:r>
    </w:p>
    <w:p w:rsidR="00C53288" w:rsidRDefault="00C53288" w:rsidP="00C53288">
      <w:pPr>
        <w:pStyle w:val="NurText"/>
        <w:numPr>
          <w:ilvl w:val="0"/>
          <w:numId w:val="5"/>
        </w:numPr>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Oft stimmte das Preis-Leistungs-Verhältnis nicht: „Wir haben mehr als ein Jahr gesucht, darunter waren auch viele leere Häuser; aber unter dem Strich war ein neues Haus nie viel teurer.“</w:t>
      </w:r>
    </w:p>
    <w:p w:rsidR="00C53288" w:rsidRDefault="00C53288" w:rsidP="00C53288">
      <w:pPr>
        <w:pStyle w:val="NurText"/>
        <w:numPr>
          <w:ilvl w:val="0"/>
          <w:numId w:val="5"/>
        </w:numPr>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Abschreckend wirkten vielfach auch Aufwand und Unwägbarkeiten bei einer Sanierung: „Man weiß nie, was auf einen noch zukommt.“</w:t>
      </w:r>
    </w:p>
    <w:p w:rsidR="00C53288" w:rsidRDefault="00C53288" w:rsidP="008D35C7">
      <w:pPr>
        <w:pStyle w:val="NurText"/>
        <w:ind w:right="1985"/>
        <w:jc w:val="both"/>
        <w:rPr>
          <w:rFonts w:asciiTheme="minorHAnsi" w:hAnsiTheme="minorHAnsi" w:cstheme="minorHAnsi"/>
          <w:sz w:val="24"/>
          <w:szCs w:val="22"/>
        </w:rPr>
      </w:pPr>
    </w:p>
    <w:p w:rsidR="00C53288" w:rsidRDefault="00C53288" w:rsidP="00C53288">
      <w:pPr>
        <w:pStyle w:val="NurText"/>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Je nach Region hätte aber ein Teil der befragten Baufamilien bei geeigneter Unterstützung durchaus auch den Kauf einer leerstehenden Bestandsimmob</w:t>
      </w:r>
      <w:r w:rsidRPr="00C53288">
        <w:rPr>
          <w:rFonts w:asciiTheme="minorHAnsi" w:hAnsiTheme="minorHAnsi" w:cstheme="minorHAnsi"/>
          <w:sz w:val="24"/>
          <w:szCs w:val="22"/>
        </w:rPr>
        <w:t>i</w:t>
      </w:r>
      <w:r w:rsidRPr="00C53288">
        <w:rPr>
          <w:rFonts w:asciiTheme="minorHAnsi" w:hAnsiTheme="minorHAnsi" w:cstheme="minorHAnsi"/>
          <w:sz w:val="24"/>
          <w:szCs w:val="22"/>
        </w:rPr>
        <w:t xml:space="preserve">lie in Erwägung gezogen. Hertweck: „Städtische Programme wie `Jung kauft </w:t>
      </w:r>
      <w:r w:rsidRPr="00C53288">
        <w:rPr>
          <w:rFonts w:asciiTheme="minorHAnsi" w:hAnsiTheme="minorHAnsi" w:cstheme="minorHAnsi"/>
          <w:sz w:val="24"/>
          <w:szCs w:val="22"/>
        </w:rPr>
        <w:lastRenderedPageBreak/>
        <w:t>Alt`, die zum Beispiel ein Altbaugutachten finanzieren, das für mehr Sicherheit beim Erwerb sorgt, sollten deshalb Schule machen; nicht aus Angst vor Fehli</w:t>
      </w:r>
      <w:r w:rsidRPr="00C53288">
        <w:rPr>
          <w:rFonts w:asciiTheme="minorHAnsi" w:hAnsiTheme="minorHAnsi" w:cstheme="minorHAnsi"/>
          <w:sz w:val="24"/>
          <w:szCs w:val="22"/>
        </w:rPr>
        <w:t>n</w:t>
      </w:r>
      <w:r w:rsidRPr="00C53288">
        <w:rPr>
          <w:rFonts w:asciiTheme="minorHAnsi" w:hAnsiTheme="minorHAnsi" w:cstheme="minorHAnsi"/>
          <w:sz w:val="24"/>
          <w:szCs w:val="22"/>
        </w:rPr>
        <w:t>vestitionen, sondern um alte Stadtkerne lebenswert zu halten.“ Nicht immer müsse auf der „grünen Wiese“ gebaut werden.</w:t>
      </w:r>
    </w:p>
    <w:p w:rsidR="00C53288" w:rsidRDefault="00C53288" w:rsidP="008D35C7">
      <w:pPr>
        <w:pStyle w:val="NurText"/>
        <w:ind w:right="1985"/>
        <w:jc w:val="both"/>
        <w:rPr>
          <w:rFonts w:asciiTheme="minorHAnsi" w:hAnsiTheme="minorHAnsi" w:cstheme="minorHAnsi"/>
          <w:sz w:val="24"/>
          <w:szCs w:val="22"/>
        </w:rPr>
      </w:pPr>
    </w:p>
    <w:p w:rsidR="00C53288" w:rsidRDefault="00C53288" w:rsidP="00C53288">
      <w:pPr>
        <w:pStyle w:val="NurText"/>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„Für die Schrumpfungsregionen selbst ist der Neubau oft auch besser als der Wegzug“, argumentiert Studienautor Braun. Kostengünstige Leerstände sti</w:t>
      </w:r>
      <w:r w:rsidRPr="00C53288">
        <w:rPr>
          <w:rFonts w:asciiTheme="minorHAnsi" w:hAnsiTheme="minorHAnsi" w:cstheme="minorHAnsi"/>
          <w:sz w:val="24"/>
          <w:szCs w:val="22"/>
        </w:rPr>
        <w:t>e</w:t>
      </w:r>
      <w:r w:rsidRPr="00C53288">
        <w:rPr>
          <w:rFonts w:asciiTheme="minorHAnsi" w:hAnsiTheme="minorHAnsi" w:cstheme="minorHAnsi"/>
          <w:sz w:val="24"/>
          <w:szCs w:val="22"/>
        </w:rPr>
        <w:t>ßen im Zeitverlauf bei weniger Zahlungskräftigen vermehrt auf Akzeptanz. „Neue Käuferschichten finden so den Weg aus Mietwohnungen ins gewünsc</w:t>
      </w:r>
      <w:r w:rsidRPr="00C53288">
        <w:rPr>
          <w:rFonts w:asciiTheme="minorHAnsi" w:hAnsiTheme="minorHAnsi" w:cstheme="minorHAnsi"/>
          <w:sz w:val="24"/>
          <w:szCs w:val="22"/>
        </w:rPr>
        <w:t>h</w:t>
      </w:r>
      <w:r w:rsidRPr="00C53288">
        <w:rPr>
          <w:rFonts w:asciiTheme="minorHAnsi" w:hAnsiTheme="minorHAnsi" w:cstheme="minorHAnsi"/>
          <w:sz w:val="24"/>
          <w:szCs w:val="22"/>
        </w:rPr>
        <w:t>te Eigenheim.“ In der Regel handele es sich um Familien mit geringeren Ei</w:t>
      </w:r>
      <w:r w:rsidRPr="00C53288">
        <w:rPr>
          <w:rFonts w:asciiTheme="minorHAnsi" w:hAnsiTheme="minorHAnsi" w:cstheme="minorHAnsi"/>
          <w:sz w:val="24"/>
          <w:szCs w:val="22"/>
        </w:rPr>
        <w:t>n</w:t>
      </w:r>
      <w:r w:rsidRPr="00C53288">
        <w:rPr>
          <w:rFonts w:asciiTheme="minorHAnsi" w:hAnsiTheme="minorHAnsi" w:cstheme="minorHAnsi"/>
          <w:sz w:val="24"/>
          <w:szCs w:val="22"/>
        </w:rPr>
        <w:t>kommen, aber handwerklichen Fähigkeiten.</w:t>
      </w:r>
    </w:p>
    <w:p w:rsidR="00C53288" w:rsidRDefault="00C53288" w:rsidP="00C53288">
      <w:pPr>
        <w:pStyle w:val="NurText"/>
        <w:spacing w:line="276" w:lineRule="auto"/>
        <w:ind w:right="1985"/>
        <w:jc w:val="both"/>
        <w:rPr>
          <w:rFonts w:asciiTheme="minorHAnsi" w:hAnsiTheme="minorHAnsi" w:cstheme="minorHAnsi"/>
          <w:sz w:val="24"/>
          <w:szCs w:val="22"/>
        </w:rPr>
      </w:pPr>
    </w:p>
    <w:p w:rsidR="00C53288" w:rsidRDefault="00C53288" w:rsidP="00C53288">
      <w:pPr>
        <w:pStyle w:val="NurText"/>
        <w:spacing w:line="276" w:lineRule="auto"/>
        <w:ind w:right="1985"/>
        <w:jc w:val="both"/>
        <w:rPr>
          <w:rFonts w:asciiTheme="minorHAnsi" w:hAnsiTheme="minorHAnsi" w:cstheme="minorHAnsi"/>
          <w:sz w:val="24"/>
          <w:szCs w:val="22"/>
        </w:rPr>
      </w:pPr>
      <w:r w:rsidRPr="00C53288">
        <w:rPr>
          <w:rFonts w:asciiTheme="minorHAnsi" w:hAnsiTheme="minorHAnsi" w:cstheme="minorHAnsi"/>
          <w:sz w:val="24"/>
          <w:szCs w:val="22"/>
        </w:rPr>
        <w:t>Selbst in den untersuchten Landkreisen bewege sich der Leerstand in Eige</w:t>
      </w:r>
      <w:r w:rsidRPr="00C53288">
        <w:rPr>
          <w:rFonts w:asciiTheme="minorHAnsi" w:hAnsiTheme="minorHAnsi" w:cstheme="minorHAnsi"/>
          <w:sz w:val="24"/>
          <w:szCs w:val="22"/>
        </w:rPr>
        <w:t>n</w:t>
      </w:r>
      <w:r w:rsidRPr="00C53288">
        <w:rPr>
          <w:rFonts w:asciiTheme="minorHAnsi" w:hAnsiTheme="minorHAnsi" w:cstheme="minorHAnsi"/>
          <w:sz w:val="24"/>
          <w:szCs w:val="22"/>
        </w:rPr>
        <w:t xml:space="preserve">heimen mittlerweile auf einem überschaubaren Niveau – anders als die </w:t>
      </w:r>
      <w:proofErr w:type="spellStart"/>
      <w:r w:rsidRPr="00C53288">
        <w:rPr>
          <w:rFonts w:asciiTheme="minorHAnsi" w:hAnsiTheme="minorHAnsi" w:cstheme="minorHAnsi"/>
          <w:sz w:val="24"/>
          <w:szCs w:val="22"/>
        </w:rPr>
        <w:t>Lee</w:t>
      </w:r>
      <w:r w:rsidRPr="00C53288">
        <w:rPr>
          <w:rFonts w:asciiTheme="minorHAnsi" w:hAnsiTheme="minorHAnsi" w:cstheme="minorHAnsi"/>
          <w:sz w:val="24"/>
          <w:szCs w:val="22"/>
        </w:rPr>
        <w:t>r</w:t>
      </w:r>
      <w:r w:rsidRPr="00C53288">
        <w:rPr>
          <w:rFonts w:asciiTheme="minorHAnsi" w:hAnsiTheme="minorHAnsi" w:cstheme="minorHAnsi"/>
          <w:sz w:val="24"/>
          <w:szCs w:val="22"/>
        </w:rPr>
        <w:t>standszahlen</w:t>
      </w:r>
      <w:proofErr w:type="spellEnd"/>
      <w:r w:rsidRPr="00C53288">
        <w:rPr>
          <w:rFonts w:asciiTheme="minorHAnsi" w:hAnsiTheme="minorHAnsi" w:cstheme="minorHAnsi"/>
          <w:sz w:val="24"/>
          <w:szCs w:val="22"/>
        </w:rPr>
        <w:t xml:space="preserve"> des Zensus im Jahr 2011 dies hätten erwarten lassen. Jede junge Familie, die dortbleibe, entlaste zudem die überforderten Märkte in den Knappheitsstädten.</w:t>
      </w:r>
    </w:p>
    <w:p w:rsidR="00C53288" w:rsidRDefault="00C53288" w:rsidP="00C53288">
      <w:pPr>
        <w:pStyle w:val="NurText"/>
        <w:spacing w:line="276" w:lineRule="auto"/>
        <w:ind w:right="1985"/>
        <w:jc w:val="both"/>
        <w:rPr>
          <w:rFonts w:asciiTheme="minorHAnsi" w:hAnsiTheme="minorHAnsi" w:cstheme="minorHAnsi"/>
          <w:sz w:val="24"/>
          <w:szCs w:val="22"/>
        </w:rPr>
      </w:pPr>
    </w:p>
    <w:p w:rsidR="00C53288" w:rsidRPr="00C53288" w:rsidRDefault="00C53288" w:rsidP="00C53288">
      <w:pPr>
        <w:pStyle w:val="NurText"/>
        <w:spacing w:line="276" w:lineRule="auto"/>
        <w:ind w:right="1985"/>
        <w:rPr>
          <w:rFonts w:asciiTheme="minorHAnsi" w:hAnsiTheme="minorHAnsi" w:cstheme="minorHAnsi"/>
          <w:sz w:val="24"/>
          <w:szCs w:val="22"/>
          <w:u w:val="single"/>
        </w:rPr>
      </w:pPr>
      <w:r w:rsidRPr="00C53288">
        <w:rPr>
          <w:rFonts w:asciiTheme="minorHAnsi" w:hAnsiTheme="minorHAnsi" w:cstheme="minorHAnsi"/>
          <w:sz w:val="24"/>
          <w:szCs w:val="22"/>
          <w:u w:val="single"/>
        </w:rPr>
        <w:t>Die Studie findet sich unter www.bausparkassen.de/</w:t>
      </w:r>
      <w:r>
        <w:rPr>
          <w:rFonts w:asciiTheme="minorHAnsi" w:hAnsiTheme="minorHAnsi" w:cstheme="minorHAnsi"/>
          <w:sz w:val="24"/>
          <w:szCs w:val="22"/>
          <w:u w:val="single"/>
        </w:rPr>
        <w:t>Service/Studien</w:t>
      </w:r>
      <w:r w:rsidRPr="00C53288">
        <w:rPr>
          <w:rFonts w:asciiTheme="minorHAnsi" w:hAnsiTheme="minorHAnsi" w:cstheme="minorHAnsi"/>
          <w:sz w:val="24"/>
          <w:szCs w:val="22"/>
          <w:u w:val="single"/>
        </w:rPr>
        <w:t>.</w:t>
      </w:r>
    </w:p>
    <w:p w:rsidR="00C53288" w:rsidRDefault="00C53288" w:rsidP="00C53288">
      <w:pPr>
        <w:pStyle w:val="NurText"/>
        <w:spacing w:line="276" w:lineRule="auto"/>
        <w:ind w:right="1985"/>
        <w:jc w:val="both"/>
        <w:rPr>
          <w:rFonts w:asciiTheme="minorHAnsi" w:hAnsiTheme="minorHAnsi" w:cstheme="minorHAnsi"/>
          <w:sz w:val="24"/>
          <w:szCs w:val="22"/>
        </w:rPr>
      </w:pPr>
    </w:p>
    <w:sectPr w:rsidR="00C53288" w:rsidSect="00C15A92">
      <w:headerReference w:type="default" r:id="rId10"/>
      <w:headerReference w:type="first" r:id="rId11"/>
      <w:pgSz w:w="11906" w:h="16838" w:code="9"/>
      <w:pgMar w:top="1701"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CC" w:rsidRDefault="001066CC">
      <w:r>
        <w:separator/>
      </w:r>
    </w:p>
  </w:endnote>
  <w:endnote w:type="continuationSeparator" w:id="0">
    <w:p w:rsidR="001066CC" w:rsidRDefault="0010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CC" w:rsidRDefault="001066CC">
      <w:r>
        <w:separator/>
      </w:r>
    </w:p>
  </w:footnote>
  <w:footnote w:type="continuationSeparator" w:id="0">
    <w:p w:rsidR="001066CC" w:rsidRDefault="00106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66" w:rsidRPr="0005431F" w:rsidRDefault="009B5166">
    <w:pPr>
      <w:pStyle w:val="Kopfzeile"/>
      <w:tabs>
        <w:tab w:val="clear" w:pos="4536"/>
        <w:tab w:val="center" w:pos="3969"/>
      </w:tabs>
      <w:jc w:val="left"/>
      <w:rPr>
        <w:rFonts w:asciiTheme="minorHAnsi" w:hAnsiTheme="minorHAnsi" w:cstheme="minorHAnsi"/>
        <w:sz w:val="22"/>
        <w:szCs w:val="22"/>
      </w:rPr>
    </w:pPr>
    <w:r>
      <w:tab/>
    </w:r>
    <w:r w:rsidRPr="0005431F">
      <w:rPr>
        <w:rStyle w:val="Seitenzahl"/>
        <w:rFonts w:asciiTheme="minorHAnsi" w:hAnsiTheme="minorHAnsi" w:cstheme="minorHAnsi"/>
        <w:sz w:val="22"/>
        <w:szCs w:val="22"/>
      </w:rPr>
      <w:fldChar w:fldCharType="begin"/>
    </w:r>
    <w:r w:rsidRPr="0005431F">
      <w:rPr>
        <w:rStyle w:val="Seitenzahl"/>
        <w:rFonts w:asciiTheme="minorHAnsi" w:hAnsiTheme="minorHAnsi" w:cstheme="minorHAnsi"/>
        <w:sz w:val="22"/>
        <w:szCs w:val="22"/>
      </w:rPr>
      <w:instrText xml:space="preserve"> PAGE </w:instrText>
    </w:r>
    <w:r w:rsidRPr="0005431F">
      <w:rPr>
        <w:rStyle w:val="Seitenzahl"/>
        <w:rFonts w:asciiTheme="minorHAnsi" w:hAnsiTheme="minorHAnsi" w:cstheme="minorHAnsi"/>
        <w:sz w:val="22"/>
        <w:szCs w:val="22"/>
      </w:rPr>
      <w:fldChar w:fldCharType="separate"/>
    </w:r>
    <w:r w:rsidR="00F050E0">
      <w:rPr>
        <w:rStyle w:val="Seitenzahl"/>
        <w:rFonts w:asciiTheme="minorHAnsi" w:hAnsiTheme="minorHAnsi" w:cstheme="minorHAnsi"/>
        <w:noProof/>
        <w:sz w:val="22"/>
        <w:szCs w:val="22"/>
      </w:rPr>
      <w:t>3</w:t>
    </w:r>
    <w:r w:rsidRPr="0005431F">
      <w:rPr>
        <w:rStyle w:val="Seitenzahl"/>
        <w:rFonts w:asciiTheme="minorHAnsi" w:hAnsiTheme="minorHAnsi" w:cstheme="minorHAnsi"/>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306155"/>
      <w:docPartObj>
        <w:docPartGallery w:val="Page Numbers (Top of Page)"/>
        <w:docPartUnique/>
      </w:docPartObj>
    </w:sdtPr>
    <w:sdtEndPr>
      <w:rPr>
        <w:rFonts w:asciiTheme="minorHAnsi" w:hAnsiTheme="minorHAnsi" w:cstheme="minorHAnsi"/>
        <w:sz w:val="22"/>
        <w:szCs w:val="22"/>
      </w:rPr>
    </w:sdtEndPr>
    <w:sdtContent>
      <w:p w:rsidR="00C15A92" w:rsidRPr="00C15A92" w:rsidRDefault="00F050E0">
        <w:pPr>
          <w:pStyle w:val="Kopfzeile"/>
          <w:jc w:val="center"/>
          <w:rPr>
            <w:rFonts w:asciiTheme="minorHAnsi" w:hAnsiTheme="minorHAnsi" w:cstheme="minorHAnsi"/>
            <w:sz w:val="22"/>
            <w:szCs w:val="22"/>
          </w:rPr>
        </w:pPr>
      </w:p>
    </w:sdtContent>
  </w:sdt>
  <w:p w:rsidR="00C15A92" w:rsidRDefault="00C15A9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39D"/>
    <w:multiLevelType w:val="singleLevel"/>
    <w:tmpl w:val="987A05B8"/>
    <w:lvl w:ilvl="0">
      <w:start w:val="1"/>
      <w:numFmt w:val="bullet"/>
      <w:lvlText w:val="─"/>
      <w:lvlJc w:val="left"/>
      <w:pPr>
        <w:tabs>
          <w:tab w:val="num" w:pos="360"/>
        </w:tabs>
        <w:ind w:left="360" w:hanging="360"/>
      </w:pPr>
      <w:rPr>
        <w:rFonts w:ascii="Times New Roman" w:hAnsi="Times New Roman" w:hint="default"/>
        <w:sz w:val="16"/>
      </w:rPr>
    </w:lvl>
  </w:abstractNum>
  <w:abstractNum w:abstractNumId="1">
    <w:nsid w:val="24EB754E"/>
    <w:multiLevelType w:val="hybridMultilevel"/>
    <w:tmpl w:val="EC784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267E1B"/>
    <w:multiLevelType w:val="singleLevel"/>
    <w:tmpl w:val="B1A6BB28"/>
    <w:lvl w:ilvl="0">
      <w:start w:val="3"/>
      <w:numFmt w:val="decimal"/>
      <w:lvlText w:val="%1."/>
      <w:lvlJc w:val="left"/>
      <w:pPr>
        <w:tabs>
          <w:tab w:val="num" w:pos="360"/>
        </w:tabs>
        <w:ind w:left="360" w:hanging="360"/>
      </w:pPr>
    </w:lvl>
  </w:abstractNum>
  <w:abstractNum w:abstractNumId="3">
    <w:nsid w:val="4C495B31"/>
    <w:multiLevelType w:val="singleLevel"/>
    <w:tmpl w:val="5DEA4A2E"/>
    <w:lvl w:ilvl="0">
      <w:numFmt w:val="bullet"/>
      <w:lvlText w:val="-"/>
      <w:lvlJc w:val="left"/>
      <w:pPr>
        <w:tabs>
          <w:tab w:val="num" w:pos="360"/>
        </w:tabs>
        <w:ind w:left="360" w:hanging="360"/>
      </w:pPr>
      <w:rPr>
        <w:rFonts w:hint="default"/>
      </w:rPr>
    </w:lvl>
  </w:abstractNum>
  <w:abstractNum w:abstractNumId="4">
    <w:nsid w:val="690943E5"/>
    <w:multiLevelType w:val="singleLevel"/>
    <w:tmpl w:val="0407000F"/>
    <w:lvl w:ilvl="0">
      <w:start w:val="1"/>
      <w:numFmt w:val="decimal"/>
      <w:lvlText w:val="%1."/>
      <w:lvlJc w:val="left"/>
      <w:pPr>
        <w:tabs>
          <w:tab w:val="num" w:pos="360"/>
        </w:tabs>
        <w:ind w:left="36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CC"/>
    <w:rsid w:val="00002DA4"/>
    <w:rsid w:val="0005431F"/>
    <w:rsid w:val="000C1926"/>
    <w:rsid w:val="001066CC"/>
    <w:rsid w:val="001D6891"/>
    <w:rsid w:val="002078F7"/>
    <w:rsid w:val="00235278"/>
    <w:rsid w:val="00287DD4"/>
    <w:rsid w:val="00294D68"/>
    <w:rsid w:val="002A4078"/>
    <w:rsid w:val="002D5011"/>
    <w:rsid w:val="00300C05"/>
    <w:rsid w:val="00321534"/>
    <w:rsid w:val="003215DC"/>
    <w:rsid w:val="003841DF"/>
    <w:rsid w:val="003F7A00"/>
    <w:rsid w:val="00554482"/>
    <w:rsid w:val="005A3815"/>
    <w:rsid w:val="005E36FC"/>
    <w:rsid w:val="006B3261"/>
    <w:rsid w:val="006C5815"/>
    <w:rsid w:val="006F0879"/>
    <w:rsid w:val="007F1DDD"/>
    <w:rsid w:val="007F4094"/>
    <w:rsid w:val="007F5EA0"/>
    <w:rsid w:val="0084404D"/>
    <w:rsid w:val="00870BC0"/>
    <w:rsid w:val="008D35C7"/>
    <w:rsid w:val="0093267B"/>
    <w:rsid w:val="00991043"/>
    <w:rsid w:val="00993CB8"/>
    <w:rsid w:val="009B5166"/>
    <w:rsid w:val="009F6B1D"/>
    <w:rsid w:val="00AD0416"/>
    <w:rsid w:val="00BB15D4"/>
    <w:rsid w:val="00BC3F28"/>
    <w:rsid w:val="00C15A92"/>
    <w:rsid w:val="00C44EB8"/>
    <w:rsid w:val="00C53288"/>
    <w:rsid w:val="00CE5DE7"/>
    <w:rsid w:val="00D95407"/>
    <w:rsid w:val="00DC547F"/>
    <w:rsid w:val="00DF08B4"/>
    <w:rsid w:val="00E039AA"/>
    <w:rsid w:val="00EA1C0E"/>
    <w:rsid w:val="00ED143E"/>
    <w:rsid w:val="00EE0498"/>
    <w:rsid w:val="00F050E0"/>
    <w:rsid w:val="00F6158A"/>
    <w:rsid w:val="00F662BA"/>
    <w:rsid w:val="00F74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bsatz">
    <w:name w:val="Absatz"/>
    <w:basedOn w:val="Standard"/>
    <w:pPr>
      <w:spacing w:before="120" w:after="120"/>
    </w:pPr>
    <w:rPr>
      <w:sz w:val="22"/>
    </w:rPr>
  </w:style>
  <w:style w:type="paragraph" w:styleId="NurText">
    <w:name w:val="Plain Text"/>
    <w:basedOn w:val="Standard"/>
    <w:pPr>
      <w:jc w:val="left"/>
    </w:pPr>
    <w:rPr>
      <w:rFonts w:ascii="Courier New" w:hAnsi="Courier New"/>
      <w:sz w:val="20"/>
    </w:rPr>
  </w:style>
  <w:style w:type="paragraph" w:styleId="Textkrper">
    <w:name w:val="Body Text"/>
    <w:basedOn w:val="Standard"/>
    <w:pPr>
      <w:spacing w:line="360" w:lineRule="auto"/>
      <w:ind w:right="1673"/>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ind w:right="1699"/>
    </w:pPr>
  </w:style>
  <w:style w:type="paragraph" w:styleId="Sprechblasentext">
    <w:name w:val="Balloon Text"/>
    <w:basedOn w:val="Standard"/>
    <w:semiHidden/>
    <w:rsid w:val="00287DD4"/>
    <w:rPr>
      <w:rFonts w:ascii="Tahoma" w:hAnsi="Tahoma" w:cs="Tahoma"/>
      <w:sz w:val="16"/>
      <w:szCs w:val="16"/>
    </w:rPr>
  </w:style>
  <w:style w:type="character" w:customStyle="1" w:styleId="KopfzeileZchn">
    <w:name w:val="Kopfzeile Zchn"/>
    <w:basedOn w:val="Absatz-Standardschriftart"/>
    <w:link w:val="Kopfzeile"/>
    <w:uiPriority w:val="99"/>
    <w:rsid w:val="00C15A9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bsatz">
    <w:name w:val="Absatz"/>
    <w:basedOn w:val="Standard"/>
    <w:pPr>
      <w:spacing w:before="120" w:after="120"/>
    </w:pPr>
    <w:rPr>
      <w:sz w:val="22"/>
    </w:rPr>
  </w:style>
  <w:style w:type="paragraph" w:styleId="NurText">
    <w:name w:val="Plain Text"/>
    <w:basedOn w:val="Standard"/>
    <w:pPr>
      <w:jc w:val="left"/>
    </w:pPr>
    <w:rPr>
      <w:rFonts w:ascii="Courier New" w:hAnsi="Courier New"/>
      <w:sz w:val="20"/>
    </w:rPr>
  </w:style>
  <w:style w:type="paragraph" w:styleId="Textkrper">
    <w:name w:val="Body Text"/>
    <w:basedOn w:val="Standard"/>
    <w:pPr>
      <w:spacing w:line="360" w:lineRule="auto"/>
      <w:ind w:right="1673"/>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ind w:right="1699"/>
    </w:pPr>
  </w:style>
  <w:style w:type="paragraph" w:styleId="Sprechblasentext">
    <w:name w:val="Balloon Text"/>
    <w:basedOn w:val="Standard"/>
    <w:semiHidden/>
    <w:rsid w:val="00287DD4"/>
    <w:rPr>
      <w:rFonts w:ascii="Tahoma" w:hAnsi="Tahoma" w:cs="Tahoma"/>
      <w:sz w:val="16"/>
      <w:szCs w:val="16"/>
    </w:rPr>
  </w:style>
  <w:style w:type="character" w:customStyle="1" w:styleId="KopfzeileZchn">
    <w:name w:val="Kopfzeile Zchn"/>
    <w:basedOn w:val="Absatz-Standardschriftart"/>
    <w:link w:val="Kopfzeile"/>
    <w:uiPriority w:val="99"/>
    <w:rsid w:val="00C15A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Pressemeldung_Verband_Mail_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9936-4FB4-4BBF-AF25-8B2A7182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Pressemeldung_Verband_Mail_2018.dotx</Template>
  <TotalTime>0</TotalTime>
  <Pages>3</Pages>
  <Words>726</Words>
  <Characters>4544</Characters>
  <Application>Microsoft Office Word</Application>
  <DocSecurity>4</DocSecurity>
  <Lines>89</Lines>
  <Paragraphs>32</Paragraphs>
  <ScaleCrop>false</ScaleCrop>
  <HeadingPairs>
    <vt:vector size="2" baseType="variant">
      <vt:variant>
        <vt:lpstr>Titel</vt:lpstr>
      </vt:variant>
      <vt:variant>
        <vt:i4>1</vt:i4>
      </vt:variant>
    </vt:vector>
  </HeadingPairs>
  <TitlesOfParts>
    <vt:vector size="1" baseType="lpstr">
      <vt:lpstr/>
    </vt:vector>
  </TitlesOfParts>
  <Company>VDPB</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Götzinger, Lisa</dc:creator>
  <cp:lastModifiedBy>RB</cp:lastModifiedBy>
  <cp:revision>2</cp:revision>
  <cp:lastPrinted>2007-10-25T12:34:00Z</cp:lastPrinted>
  <dcterms:created xsi:type="dcterms:W3CDTF">2018-12-05T09:29:00Z</dcterms:created>
  <dcterms:modified xsi:type="dcterms:W3CDTF">2018-12-05T09:29:00Z</dcterms:modified>
</cp:coreProperties>
</file>